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2248046.xml.htm"/>
      <w:bookmarkStart w:id="1" w:name="kswkform4_178224804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Harris Jennifer Noel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BRILLIANT EARTH GROUP,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 GRANT AVENUE, THIRD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94108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Brilliant Earth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BRLT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973"/>
        <w:gridCol w:w="453"/>
        <w:gridCol w:w="712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06/18/2026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20,020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1.07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232,302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06/22/2026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18,336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1.03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213,966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transactions reported herein were effected pursuant to a Rule 10b5-1 trading plan adopted by the reporting person on August 27,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transaction was executed in multiple trades ranging from $1.04 to $1.12. The price reported above reflects the weighted average sale price. The reporting person hereby undertakes to provide upon request to the SEC staff, the issuer or a security holder of the issuer,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This transaction was executed in multiple trades ranging from $1.01 to $1.06. The price reported above reflects the weighted average sale price. The reporting person hereby undertakes to provide upon request to the SEC staff, the issuer or a security holder of the issuer,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Alex Grab as Attorney-in-Fact for Jennifer Noel Harris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06/23/2026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597649" TargetMode="External"/><Relationship Id="rId5" Type="http://schemas.openxmlformats.org/officeDocument/2006/relationships/hyperlink" Target="http://www.sec.gov/cgi-bin/browse-edgar?action=getcompany&amp;CIK=000186675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727</Words>
  <Characters>3916</Characters>
  <CharactersWithSpaces>4575</CharactersWithSpaces>
  <Paragraphs>106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