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7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5"/>
          <w:szCs w:val="25"/>
          <w:b w:val="1"/>
          <w:bCs w:val="1"/>
          <w:color w:val="auto"/>
        </w:rPr>
        <w:t>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9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CURRENT REPORT</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Brilliant Earth Group, Inc.</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8" w:lineRule="exact"/>
        <w:rPr>
          <w:sz w:val="24"/>
          <w:szCs w:val="24"/>
          <w:color w:val="auto"/>
        </w:rPr>
      </w:pPr>
    </w:p>
    <w:tbl>
      <w:tblPr>
        <w:tblLayout w:type="fixed"/>
        <w:tblInd w:w="100" w:type="dxa"/>
        <w:tblCellMar>
          <w:top w:w="0" w:type="dxa"/>
          <w:left w:w="0" w:type="dxa"/>
          <w:bottom w:w="0" w:type="dxa"/>
          <w:right w:w="0" w:type="dxa"/>
        </w:tblCellMar>
      </w:tblPr>
      <w:tr>
        <w:trPr>
          <w:trHeight w:val="252"/>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6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001-40836</w:t>
            </w:r>
          </w:p>
        </w:tc>
        <w:tc>
          <w:tcPr>
            <w:tcW w:w="31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87-1015499</w:t>
            </w:r>
          </w:p>
        </w:tc>
        <w:tc>
          <w:tcPr>
            <w:tcW w:w="0" w:type="dxa"/>
            <w:vAlign w:val="bottom"/>
          </w:tcPr>
          <w:p>
            <w:pPr>
              <w:spacing w:after="0"/>
              <w:rPr>
                <w:sz w:val="1"/>
                <w:szCs w:val="1"/>
                <w:color w:val="auto"/>
              </w:rPr>
            </w:pPr>
          </w:p>
        </w:tc>
      </w:tr>
      <w:tr>
        <w:trPr>
          <w:trHeight w:val="256"/>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6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(Commission File Number)</w:t>
            </w: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61"/>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300 Grant Avenue, Third Floor,</w:t>
            </w:r>
          </w:p>
        </w:tc>
        <w:tc>
          <w:tcPr>
            <w:tcW w:w="2640" w:type="dxa"/>
            <w:vAlign w:val="bottom"/>
          </w:tcPr>
          <w:p>
            <w:pPr>
              <w:spacing w:after="0"/>
              <w:rPr>
                <w:sz w:val="22"/>
                <w:szCs w:val="22"/>
                <w:color w:val="auto"/>
              </w:rPr>
            </w:pPr>
          </w:p>
        </w:tc>
        <w:tc>
          <w:tcPr>
            <w:tcW w:w="314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c>
          <w:tcPr>
            <w:tcW w:w="0" w:type="dxa"/>
            <w:vAlign w:val="bottom"/>
          </w:tcPr>
          <w:p>
            <w:pPr>
              <w:spacing w:after="0"/>
              <w:rPr>
                <w:sz w:val="1"/>
                <w:szCs w:val="1"/>
                <w:color w:val="auto"/>
              </w:rPr>
            </w:pPr>
          </w:p>
        </w:tc>
      </w:tr>
      <w:tr>
        <w:trPr>
          <w:trHeight w:val="238"/>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San Francisco, CA</w:t>
            </w:r>
          </w:p>
        </w:tc>
        <w:tc>
          <w:tcPr>
            <w:tcW w:w="2640" w:type="dxa"/>
            <w:vAlign w:val="bottom"/>
          </w:tcPr>
          <w:p>
            <w:pPr>
              <w:spacing w:after="0"/>
              <w:rPr>
                <w:sz w:val="20"/>
                <w:szCs w:val="20"/>
                <w:color w:val="auto"/>
              </w:rPr>
            </w:pPr>
          </w:p>
        </w:tc>
        <w:tc>
          <w:tcPr>
            <w:tcW w:w="3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4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spacing w:after="0"/>
              <w:rPr>
                <w:sz w:val="22"/>
                <w:szCs w:val="22"/>
                <w:color w:val="auto"/>
              </w:rPr>
            </w:pPr>
          </w:p>
        </w:tc>
        <w:tc>
          <w:tcPr>
            <w:tcW w:w="31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691-0952</w:t>
      </w:r>
    </w:p>
    <w:p>
      <w:pPr>
        <w:spacing w:after="0" w:line="256"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88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BRLT</w:t>
            </w:r>
          </w:p>
        </w:tc>
        <w:tc>
          <w:tcPr>
            <w:tcW w:w="4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r>
        <w:trPr>
          <w:trHeight w:val="149"/>
        </w:trPr>
        <w:tc>
          <w:tcPr>
            <w:tcW w:w="38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380" w:type="dxa"/>
            <w:vAlign w:val="bottom"/>
            <w:tcBorders>
              <w:right w:val="single" w:sz="8" w:color="auto"/>
            </w:tcBorders>
            <w:vMerge w:val="continue"/>
          </w:tcPr>
          <w:p>
            <w:pPr>
              <w:spacing w:after="0"/>
              <w:rPr>
                <w:sz w:val="12"/>
                <w:szCs w:val="12"/>
                <w:color w:val="auto"/>
              </w:rPr>
            </w:pPr>
          </w:p>
        </w:tc>
        <w:tc>
          <w:tcPr>
            <w:tcW w:w="4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380" w:type="dxa"/>
            <w:vAlign w:val="bottom"/>
            <w:tcBorders>
              <w:bottom w:val="single" w:sz="8" w:color="auto"/>
              <w:right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2026 Annual Meeting of Stockholders (the “Annual Meeting”) of Brilliant Earth Group, Inc. (the “Company”) was held on June 17,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w:t>
      </w:r>
    </w:p>
    <w:p>
      <w:pPr>
        <w:spacing w:after="0" w:line="239" w:lineRule="exact"/>
        <w:rPr>
          <w:sz w:val="20"/>
          <w:szCs w:val="20"/>
          <w:color w:val="auto"/>
        </w:rPr>
      </w:pPr>
    </w:p>
    <w:p>
      <w:pPr>
        <w:ind w:firstLine="656"/>
        <w:spacing w:after="0" w:line="266" w:lineRule="auto"/>
        <w:tabs>
          <w:tab w:leader="none" w:pos="89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the three Class II director nominees, each director to hold office until the 2029 annual meeting of stockholders and until such director’s successor is duly elected and qualified, or until such director’s earlier death, resignation or removal; and</w:t>
      </w:r>
    </w:p>
    <w:p>
      <w:pPr>
        <w:spacing w:after="0" w:line="18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BDO USA, PC as the Company’s independent registered public accounting firm for the fiscal year ending December</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31, 2026.</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proposals considered and voted upon at the Annual Meeting are described in more detail in the Company’s Definitive Proxy Statement filed with the Securities and Exchange Commission on April 27, 2026.</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Each share of the Company’s Class A common stock and Class B common stock entitles its holders to one vote per share on all matters presented to stockholders generally, and each share of Class C common stock entitles its holders to ten votes per share on all matters presented to stockholders generally. Holders of the Company's Common Stock voted together as a single class on all matters presented at the Annual Meeting.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final voting results for each matter presented to stockholders.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Class II Directors.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16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880" w:type="dxa"/>
            <w:vAlign w:val="bottom"/>
            <w:gridSpan w:val="2"/>
          </w:tcPr>
          <w:p>
            <w:pPr>
              <w:spacing w:after="0"/>
              <w:rPr>
                <w:sz w:val="18"/>
                <w:szCs w:val="18"/>
                <w:color w:val="auto"/>
              </w:rPr>
            </w:pPr>
          </w:p>
        </w:tc>
        <w:tc>
          <w:tcPr>
            <w:tcW w:w="31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Votes Withheld</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0"/>
        </w:trPr>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32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rPr>
              <w:t>Eric Grossberg</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202124"/>
                <w:w w:val="99"/>
              </w:rPr>
              <w:t>528,614,937</w:t>
            </w:r>
          </w:p>
        </w:tc>
        <w:tc>
          <w:tcPr>
            <w:tcW w:w="720" w:type="dxa"/>
            <w:vAlign w:val="bottom"/>
          </w:tcPr>
          <w:p>
            <w:pPr>
              <w:spacing w:after="0"/>
              <w:rPr>
                <w:sz w:val="24"/>
                <w:szCs w:val="24"/>
                <w:color w:val="auto"/>
              </w:rPr>
            </w:pPr>
          </w:p>
        </w:tc>
        <w:tc>
          <w:tcPr>
            <w:tcW w:w="16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1,267,353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6,339,830</w:t>
            </w:r>
          </w:p>
        </w:tc>
      </w:tr>
      <w:tr>
        <w:trPr>
          <w:trHeight w:val="257"/>
        </w:trPr>
        <w:tc>
          <w:tcPr>
            <w:tcW w:w="32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w w:val="99"/>
              </w:rPr>
              <w:t>Attica A. Jaques</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202124"/>
                <w:w w:val="99"/>
              </w:rPr>
              <w:t>528,734,945</w:t>
            </w:r>
          </w:p>
        </w:tc>
        <w:tc>
          <w:tcPr>
            <w:tcW w:w="720" w:type="dxa"/>
            <w:vAlign w:val="bottom"/>
          </w:tcPr>
          <w:p>
            <w:pPr>
              <w:spacing w:after="0"/>
              <w:rPr>
                <w:sz w:val="22"/>
                <w:szCs w:val="22"/>
                <w:color w:val="auto"/>
              </w:rPr>
            </w:pPr>
          </w:p>
        </w:tc>
        <w:tc>
          <w:tcPr>
            <w:tcW w:w="16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1,147,345</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6,339,830</w:t>
            </w:r>
          </w:p>
        </w:tc>
      </w:tr>
      <w:tr>
        <w:trPr>
          <w:trHeight w:val="257"/>
        </w:trPr>
        <w:tc>
          <w:tcPr>
            <w:tcW w:w="32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auto"/>
                <w:w w:val="99"/>
              </w:rPr>
              <w:t>Gavin M. Turner</w:t>
            </w: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529,774,755</w:t>
            </w:r>
          </w:p>
        </w:tc>
        <w:tc>
          <w:tcPr>
            <w:tcW w:w="720" w:type="dxa"/>
            <w:vAlign w:val="bottom"/>
          </w:tcPr>
          <w:p>
            <w:pPr>
              <w:spacing w:after="0"/>
              <w:rPr>
                <w:sz w:val="22"/>
                <w:szCs w:val="22"/>
                <w:color w:val="auto"/>
              </w:rPr>
            </w:pPr>
          </w:p>
        </w:tc>
        <w:tc>
          <w:tcPr>
            <w:tcW w:w="16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107,535</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6,339,830</w:t>
            </w:r>
          </w:p>
        </w:tc>
      </w:tr>
      <w:tr>
        <w:trPr>
          <w:trHeight w:val="540"/>
        </w:trPr>
        <w:tc>
          <w:tcPr>
            <w:tcW w:w="82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tc>
        <w:tc>
          <w:tcPr>
            <w:tcW w:w="138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2340" w:type="dxa"/>
            <w:vAlign w:val="bottom"/>
            <w:gridSpan w:val="4"/>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0"/>
        </w:trPr>
        <w:tc>
          <w:tcPr>
            <w:tcW w:w="90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77"/>
        </w:trPr>
        <w:tc>
          <w:tcPr>
            <w:tcW w:w="3240" w:type="dxa"/>
            <w:vAlign w:val="bottom"/>
            <w:gridSpan w:val="5"/>
          </w:tcPr>
          <w:p>
            <w:pPr>
              <w:jc w:val="center"/>
              <w:ind w:right="700"/>
              <w:spacing w:after="0"/>
              <w:rPr>
                <w:sz w:val="20"/>
                <w:szCs w:val="20"/>
                <w:color w:val="auto"/>
              </w:rPr>
            </w:pPr>
            <w:r>
              <w:rPr>
                <w:rFonts w:ascii="Times New Roman" w:cs="Times New Roman" w:eastAsia="Times New Roman" w:hAnsi="Times New Roman"/>
                <w:sz w:val="18"/>
                <w:szCs w:val="18"/>
                <w:color w:val="202124"/>
                <w:w w:val="99"/>
              </w:rPr>
              <w:t>536,108,294</w:t>
            </w:r>
          </w:p>
        </w:tc>
        <w:tc>
          <w:tcPr>
            <w:tcW w:w="9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202124"/>
                <w:w w:val="99"/>
              </w:rPr>
              <w:t>111,934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202124"/>
                <w:w w:val="98"/>
              </w:rPr>
              <w:t>1,892</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votes, the three director nominees were elected, and Proposal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BRILLIANT EARTH GROUP, INC.</w:t>
      </w:r>
    </w:p>
    <w:p>
      <w:pPr>
        <w:spacing w:after="0" w:line="324" w:lineRule="exact"/>
        <w:rPr>
          <w:sz w:val="20"/>
          <w:szCs w:val="20"/>
          <w:color w:val="auto"/>
        </w:rPr>
      </w:pPr>
    </w:p>
    <w:p>
      <w:pPr>
        <w:ind w:left="20"/>
        <w:spacing w:after="0"/>
        <w:tabs>
          <w:tab w:leader="none" w:pos="5260" w:val="left"/>
          <w:tab w:leader="none" w:pos="5780" w:val="left"/>
        </w:tabs>
        <w:rPr>
          <w:sz w:val="20"/>
          <w:szCs w:val="20"/>
          <w:color w:val="auto"/>
        </w:rPr>
      </w:pPr>
      <w:r>
        <w:rPr>
          <w:rFonts w:ascii="Times New Roman" w:cs="Times New Roman" w:eastAsia="Times New Roman" w:hAnsi="Times New Roman"/>
          <w:sz w:val="18"/>
          <w:szCs w:val="18"/>
          <w:color w:val="auto"/>
        </w:rPr>
        <w:t>Date: June 18, 2026</w:t>
      </w:r>
      <w:r>
        <w:rPr>
          <w:sz w:val="20"/>
          <w:szCs w:val="20"/>
          <w:color w:val="auto"/>
        </w:rPr>
        <w:tab/>
      </w:r>
      <w:r>
        <w:rPr>
          <w:rFonts w:ascii="Times New Roman" w:cs="Times New Roman" w:eastAsia="Times New Roman" w:hAnsi="Times New Roman"/>
          <w:sz w:val="18"/>
          <w:szCs w:val="18"/>
          <w:color w:val="auto"/>
        </w:rPr>
        <w:t>By:</w:t>
        <w:tab/>
        <w:t>/s/ Jeffrey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43180</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Kuo</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2026-06-18T16:24:39Z</dcterms:created>
  <dcterms:modified xsi:type="dcterms:W3CDTF">2026-06-18T16:24:39Z</dcterms:modified>
</cp:coreProperties>
</file>