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______________</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____________</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before="0" w:after="0"/>
        <w:jc w:val="center"/>
        <w:rPr/>
      </w:pPr>
      <w:r>
        <w:rPr/>
      </w:r>
    </w:p>
    <w:p>
      <w:pPr>
        <w:pStyle w:val="TextBody"/>
        <w:bidi w:val="0"/>
        <w:spacing w:lineRule="auto" w:line="276" w:before="0" w:after="16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6, 2026</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Brilliant Earth Group, Inc. </w:t>
      </w:r>
    </w:p>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8"/>
        <w:gridCol w:w="1566"/>
        <w:gridCol w:w="1573"/>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Nevada</w:t>
            </w:r>
          </w:p>
        </w:tc>
        <w:tc>
          <w:tcPr>
            <w:tcW w:w="2276" w:type="dxa"/>
            <w:gridSpan w:val="6"/>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color w:val="000000"/>
                <w:sz w:val="20"/>
              </w:rPr>
            </w:pPr>
            <w:r>
              <w:rPr>
                <w:rFonts w:ascii="Times New Roman;serif" w:hAnsi="Times New Roman;serif"/>
                <w:b/>
                <w:color w:val="000000"/>
                <w:sz w:val="20"/>
              </w:rPr>
              <w:t>001-40836</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87-1015499</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60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pPr>
            <w:r>
              <w:rPr>
                <w:rFonts w:ascii="Times New Roman;serif" w:hAnsi="Times New Roman;serif"/>
                <w:b/>
                <w:color w:val="000000"/>
                <w:sz w:val="18"/>
              </w:rPr>
              <w:t>300 Grant Avenue, Third Floor</w:t>
            </w:r>
            <w:r>
              <w:rPr>
                <w:rFonts w:ascii="Times New Roman;serif" w:hAnsi="Times New Roman;serif"/>
                <w:b/>
                <w:color w:val="000000"/>
                <w:sz w:val="20"/>
              </w:rPr>
              <w:t>,</w:t>
            </w:r>
          </w:p>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San Francisco, CA</w:t>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94108</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64"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(800) 691-0952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6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60"/>
        <w:jc w:val="left"/>
        <w:rPr/>
      </w:pPr>
      <w:r>
        <w:rPr>
          <w:color w:val="000000"/>
        </w:rPr>
        <w:t xml:space="preserve">☐ </w:t>
      </w:r>
      <w:r>
        <w:rPr>
          <w:rFonts w:ascii="Times New Roman;serif" w:hAnsi="Times New Roman;serif"/>
          <w:b w:val="false"/>
          <w:color w:val="231F20"/>
          <w:sz w:val="20"/>
        </w:rPr>
        <w:t>Soliciting material pursuant to Rule 14a-12 under the Exchange Act (17 CFR 240.14a-12)</w:t>
      </w:r>
    </w:p>
    <w:p>
      <w:pPr>
        <w:pStyle w:val="TextBody"/>
        <w:bidi w:val="0"/>
        <w:spacing w:lineRule="auto" w:line="288" w:before="0" w:after="60"/>
        <w:jc w:val="left"/>
        <w:rPr/>
      </w:pPr>
      <w:r>
        <w:rPr>
          <w:color w:val="000000"/>
        </w:rPr>
        <w:t xml:space="preserve">☐ </w:t>
      </w:r>
      <w:r>
        <w:rPr>
          <w:rFonts w:ascii="Times New Roman;serif" w:hAnsi="Times New Roman;serif"/>
          <w:b w:val="false"/>
          <w:color w:val="231F20"/>
          <w:sz w:val="20"/>
        </w:rPr>
        <w:t>Pre-commencement communications pursuant to Rule 14d-2(b) under the Exchange Act (17 CFR 240.14d-2(b))</w:t>
      </w:r>
    </w:p>
    <w:p>
      <w:pPr>
        <w:pStyle w:val="TextBody"/>
        <w:bidi w:val="0"/>
        <w:spacing w:lineRule="auto" w:line="288" w:before="0" w:after="6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794" w:type="dxa"/>
        <w:jc w:val="center"/>
        <w:tblInd w:w="0" w:type="dxa"/>
        <w:tblLayout w:type="fixed"/>
        <w:tblCellMar>
          <w:top w:w="28" w:type="dxa"/>
          <w:left w:w="28" w:type="dxa"/>
          <w:bottom w:w="28" w:type="dxa"/>
          <w:right w:w="28" w:type="dxa"/>
        </w:tblCellMar>
      </w:tblPr>
      <w:tblGrid>
        <w:gridCol w:w="1619"/>
        <w:gridCol w:w="1417"/>
        <w:gridCol w:w="1434"/>
        <w:gridCol w:w="539"/>
        <w:gridCol w:w="539"/>
        <w:gridCol w:w="541"/>
        <w:gridCol w:w="1085"/>
        <w:gridCol w:w="1085"/>
        <w:gridCol w:w="1535"/>
      </w:tblGrid>
      <w:tr>
        <w:trPr/>
        <w:tc>
          <w:tcPr>
            <w:tcW w:w="1619"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4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$0.0001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BRLT</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10" w:type="dxa"/>
        <w:jc w:val="left"/>
        <w:tblInd w:w="0" w:type="dxa"/>
        <w:tblLayout w:type="fixed"/>
        <w:tblCellMar>
          <w:top w:w="28" w:type="dxa"/>
          <w:left w:w="28" w:type="dxa"/>
          <w:bottom w:w="28" w:type="dxa"/>
          <w:right w:w="28" w:type="dxa"/>
        </w:tblCellMar>
      </w:tblPr>
      <w:tblGrid>
        <w:gridCol w:w="332"/>
        <w:gridCol w:w="291"/>
        <w:gridCol w:w="293"/>
        <w:gridCol w:w="1199"/>
        <w:gridCol w:w="1199"/>
        <w:gridCol w:w="169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6, 2026, Brilliant Earth Group, Inc. issued a press release announcing its financial results for the three months ended June 30, 2026. A copy of such press release is attached as Exhibit 99.1 to this Current Report on Form 8-K.</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information furnished under this Item 2.02, including the press release attached as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otherwise expressly stated in such filing. </w:t>
      </w:r>
    </w:p>
    <w:p>
      <w:pPr>
        <w:pStyle w:val="TextBody"/>
        <w:bidi w:val="0"/>
        <w:spacing w:before="0" w:after="0"/>
        <w:jc w:val="left"/>
        <w:rPr/>
      </w:pPr>
      <w:r>
        <w:rPr/>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120" w:after="283"/>
        <w:jc w:val="left"/>
        <w:rPr/>
      </w:pPr>
      <w:r>
        <w:rPr>
          <w:rFonts w:ascii="Times New Roman;serif" w:hAnsi="Times New Roman;serif"/>
          <w:b w:val="false"/>
          <w:color w:val="000000"/>
          <w:sz w:val="20"/>
          <w:shd w:fill="FFFFFF" w:val="clear"/>
        </w:rPr>
        <w:t>(d) Exhibits.</w:t>
      </w:r>
      <w:r>
        <w:rPr>
          <w:color w:val="000000"/>
          <w:shd w:fill="FFFFFF" w:val="clear"/>
        </w:rPr>
        <w:t> </w:t>
      </w:r>
    </w:p>
    <w:tbl>
      <w:tblPr>
        <w:tblW w:w="6837"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1586"/>
        <w:gridCol w:w="1586"/>
        <w:gridCol w:w="225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brlt-2q26earningsrelease.htm">
              <w:r>
                <w:rPr>
                  <w:rStyle w:val="InternetLink"/>
                  <w:rFonts w:ascii="Times New Roman;serif" w:hAnsi="Times New Roman;serif"/>
                  <w:b w:val="false"/>
                  <w:color w:val="000080"/>
                  <w:sz w:val="20"/>
                  <w:u w:val="single"/>
                </w:rPr>
                <w:t xml:space="preserve">Press Release of Brilliant Earth Group, Inc., dated </w:t>
              </w:r>
            </w:hyperlink>
            <w:hyperlink w:anchor="brlt-2q26earningsrelease.htm">
              <w:r>
                <w:rPr>
                  <w:rStyle w:val="InternetLink"/>
                  <w:rFonts w:ascii="Times New Roman;serif" w:hAnsi="Times New Roman;serif"/>
                  <w:b w:val="false"/>
                  <w:color w:val="000080"/>
                  <w:sz w:val="20"/>
                  <w:u w:val="single"/>
                </w:rPr>
                <w:t>August</w:t>
              </w:r>
            </w:hyperlink>
            <w:hyperlink w:anchor="brlt-2q26earningsrelease.htm">
              <w:r>
                <w:rPr>
                  <w:rStyle w:val="InternetLink"/>
                  <w:rFonts w:ascii="Times New Roman;serif" w:hAnsi="Times New Roman;serif"/>
                  <w:b w:val="false"/>
                  <w:color w:val="000080"/>
                  <w:sz w:val="20"/>
                  <w:u w:val="single"/>
                </w:rPr>
                <w:t xml:space="preserve"> </w:t>
              </w:r>
            </w:hyperlink>
            <w:hyperlink w:anchor="brlt-2q26earningsrelease.htm">
              <w:r>
                <w:rPr>
                  <w:rStyle w:val="InternetLink"/>
                  <w:rFonts w:ascii="Times New Roman;serif" w:hAnsi="Times New Roman;serif"/>
                  <w:b w:val="false"/>
                  <w:color w:val="000080"/>
                  <w:sz w:val="20"/>
                  <w:u w:val="single"/>
                </w:rPr>
                <w:t>6</w:t>
              </w:r>
            </w:hyperlink>
            <w:hyperlink w:anchor="brlt-2q26earningsrelease.htm">
              <w:r>
                <w:rPr>
                  <w:rStyle w:val="InternetLink"/>
                  <w:rFonts w:ascii="Times New Roman;serif" w:hAnsi="Times New Roman;serif"/>
                  <w:b w:val="false"/>
                  <w:color w:val="000080"/>
                  <w:sz w:val="20"/>
                  <w:u w:val="single"/>
                </w:rPr>
                <w:t>, 2026</w:t>
              </w:r>
            </w:hyperlink>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w:t>
      </w:r>
    </w:p>
    <w:p>
      <w:pPr>
        <w:pStyle w:val="TextBody"/>
        <w:bidi w:val="0"/>
        <w:spacing w:lineRule="auto" w:line="276"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76" w:before="0" w:after="0"/>
        <w:jc w:val="left"/>
        <w:rPr>
          <w:color w:val="000000"/>
          <w:shd w:fill="FFFFFF" w:val="clear"/>
        </w:rPr>
      </w:pPr>
      <w:r>
        <w:rPr>
          <w:color w:val="000000"/>
          <w:shd w:fill="FFFFFF" w:val="clear"/>
        </w:rPr>
        <w:t>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BRILLIANT EARTH GROUP, INC.</w:t>
      </w:r>
    </w:p>
    <w:tbl>
      <w:tblPr>
        <w:tblW w:w="5239"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34"/>
        <w:gridCol w:w="134"/>
        <w:gridCol w:w="136"/>
        <w:gridCol w:w="588"/>
        <w:gridCol w:w="588"/>
        <w:gridCol w:w="83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Kuo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Kuo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
        <w:jc w:val="center"/>
        <w:rPr>
          <w:rFonts w:ascii="Times New Roman;serif" w:hAnsi="Times New Roman;serif"/>
          <w:b/>
          <w:color w:val="000000"/>
          <w:sz w:val="20"/>
        </w:rPr>
      </w:pPr>
      <w:r>
        <w:rPr>
          <w:rFonts w:ascii="Times New Roman;serif" w:hAnsi="Times New Roman;serif"/>
          <w:b/>
          <w:color w:val="000000"/>
          <w:sz w:val="20"/>
        </w:rPr>
        <w:t>Brilliant Earth Reports Second Quarter Results and Raises Annual Profitability Guidance</w:t>
      </w:r>
    </w:p>
    <w:p>
      <w:pPr>
        <w:pStyle w:val="TextBody"/>
        <w:bidi w:val="0"/>
        <w:spacing w:lineRule="auto" w:line="300" w:before="0" w:after="2"/>
        <w:jc w:val="center"/>
        <w:rPr>
          <w:rFonts w:ascii="Times New Roman;serif" w:hAnsi="Times New Roman;serif"/>
          <w:b w:val="false"/>
          <w:i/>
          <w:color w:val="000000"/>
          <w:sz w:val="20"/>
        </w:rPr>
      </w:pPr>
      <w:r>
        <w:rPr>
          <w:rFonts w:ascii="Times New Roman;serif" w:hAnsi="Times New Roman;serif"/>
          <w:b w:val="false"/>
          <w:i/>
          <w:color w:val="000000"/>
          <w:sz w:val="20"/>
        </w:rPr>
        <w:t>Delivered 6% Y/Y Net Sales Growth and $5.8M Adjusted EBITDA, Exceeding High End of Guidance Range</w:t>
      </w:r>
    </w:p>
    <w:p>
      <w:pPr>
        <w:pStyle w:val="TextBody"/>
        <w:bidi w:val="0"/>
        <w:spacing w:lineRule="auto" w:line="300" w:before="0" w:after="2"/>
        <w:jc w:val="center"/>
        <w:rPr>
          <w:rFonts w:ascii="Times New Roman;serif" w:hAnsi="Times New Roman;serif"/>
          <w:b w:val="false"/>
          <w:i/>
          <w:color w:val="000000"/>
          <w:sz w:val="20"/>
        </w:rPr>
      </w:pPr>
      <w:r>
        <w:rPr>
          <w:rFonts w:ascii="Times New Roman;serif" w:hAnsi="Times New Roman;serif"/>
          <w:b w:val="false"/>
          <w:i/>
          <w:color w:val="000000"/>
          <w:sz w:val="20"/>
        </w:rPr>
        <w:t>Expanded Gross Margin by 360 bps Sequentially</w:t>
      </w:r>
    </w:p>
    <w:p>
      <w:pPr>
        <w:pStyle w:val="TextBody"/>
        <w:bidi w:val="0"/>
        <w:spacing w:lineRule="auto" w:line="300" w:before="0" w:after="2"/>
        <w:jc w:val="center"/>
        <w:rPr>
          <w:rFonts w:ascii="Times New Roman;serif" w:hAnsi="Times New Roman;serif"/>
          <w:b w:val="false"/>
          <w:i/>
          <w:color w:val="000000"/>
          <w:sz w:val="20"/>
        </w:rPr>
      </w:pPr>
      <w:r>
        <w:rPr>
          <w:rFonts w:ascii="Times New Roman;serif" w:hAnsi="Times New Roman;serif"/>
          <w:b w:val="false"/>
          <w:i/>
          <w:color w:val="000000"/>
          <w:sz w:val="20"/>
        </w:rPr>
        <w:t>Drove 32% Y/Y Bookings Growth in Fine Jewelry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Raises Annual Profitability Guidance</w:t>
      </w:r>
    </w:p>
    <w:p>
      <w:pPr>
        <w:pStyle w:val="TextBody"/>
        <w:bidi w:val="0"/>
        <w:spacing w:before="0" w:after="0"/>
        <w:jc w:val="center"/>
        <w:rPr/>
      </w:pPr>
      <w:r>
        <w:rPr/>
      </w:r>
    </w:p>
    <w:p>
      <w:pPr>
        <w:pStyle w:val="TextBody"/>
        <w:bidi w:val="0"/>
        <w:spacing w:lineRule="auto" w:line="300" w:before="0" w:after="0"/>
        <w:jc w:val="both"/>
        <w:rPr/>
      </w:pPr>
      <w:r>
        <w:rPr>
          <w:rFonts w:ascii="Times New Roman;serif" w:hAnsi="Times New Roman;serif"/>
          <w:b w:val="false"/>
          <w:color w:val="000000"/>
          <w:sz w:val="20"/>
        </w:rPr>
        <w:t xml:space="preserve">SAN FRANCISCO, Calif. – August 6, 2026 (GLOBE NEWSWIRE) – Brilliant Earth Group, Inc. (“Brilliant Earth” or the “Company”) (Nasdaq: BRLT), an innovative, global leader in ethically sourced fine jewelry, today announced financial results for the </w:t>
      </w:r>
      <w:r>
        <w:rPr>
          <w:rFonts w:ascii="Times New Roman;serif" w:hAnsi="Times New Roman;serif"/>
          <w:b w:val="false"/>
          <w:color w:val="000000"/>
          <w:sz w:val="20"/>
          <w:shd w:fill="FFFFFF" w:val="clear"/>
        </w:rPr>
        <w:t>three and six months ended</w:t>
      </w:r>
      <w:r>
        <w:rPr>
          <w:color w:val="000000"/>
        </w:rPr>
        <w:t xml:space="preserve"> </w:t>
      </w:r>
      <w:r>
        <w:rPr>
          <w:rFonts w:ascii="Times New Roman;serif" w:hAnsi="Times New Roman;serif"/>
          <w:b w:val="false"/>
          <w:color w:val="000000"/>
          <w:sz w:val="20"/>
        </w:rPr>
        <w:t xml:space="preserve">June 30, 2026. </w:t>
      </w:r>
    </w:p>
    <w:p>
      <w:pPr>
        <w:pStyle w:val="TextBody"/>
        <w:bidi w:val="0"/>
        <w:spacing w:lineRule="auto" w:line="300" w:before="240" w:after="160"/>
        <w:jc w:val="both"/>
        <w:rPr>
          <w:rFonts w:ascii="Times New Roman;serif" w:hAnsi="Times New Roman;serif"/>
          <w:b/>
          <w:color w:val="000000"/>
          <w:sz w:val="20"/>
        </w:rPr>
      </w:pPr>
      <w:r>
        <w:rPr>
          <w:rFonts w:ascii="Times New Roman;serif" w:hAnsi="Times New Roman;serif"/>
          <w:b/>
          <w:color w:val="000000"/>
          <w:sz w:val="20"/>
        </w:rPr>
        <w:t>Second Quarter 2026 Highlights (quarterly period ended June 30, 2026):</w:t>
      </w:r>
    </w:p>
    <w:p>
      <w:pPr>
        <w:pStyle w:val="TextBody"/>
        <w:bidi w:val="0"/>
        <w:spacing w:lineRule="auto" w:line="300" w:before="0" w:after="2"/>
        <w:ind w:left="0" w:right="0" w:hanging="360"/>
        <w:jc w:val="left"/>
        <w:rPr/>
      </w:pPr>
      <w:r>
        <w:rPr>
          <w:color w:val="000000"/>
        </w:rPr>
        <w:t>•</w:t>
      </w:r>
      <w:r>
        <w:rPr>
          <w:rFonts w:ascii="Times New Roman;serif" w:hAnsi="Times New Roman;serif"/>
          <w:b/>
          <w:color w:val="000000"/>
          <w:sz w:val="20"/>
        </w:rPr>
        <w:t xml:space="preserve">Delivered Net Sales of $115.1 million in the second quarter, </w:t>
      </w:r>
      <w:r>
        <w:rPr>
          <w:rFonts w:ascii="Times New Roman;serif" w:hAnsi="Times New Roman;serif"/>
          <w:b w:val="false"/>
          <w:color w:val="000000"/>
          <w:sz w:val="20"/>
        </w:rPr>
        <w:t>exceeding the high end of the Company's guidance range</w:t>
      </w:r>
    </w:p>
    <w:p>
      <w:pPr>
        <w:pStyle w:val="TextBody"/>
        <w:bidi w:val="0"/>
        <w:spacing w:lineRule="auto" w:line="300" w:before="0" w:after="2"/>
        <w:ind w:left="0" w:right="0" w:hanging="360"/>
        <w:jc w:val="left"/>
        <w:rPr/>
      </w:pPr>
      <w:r>
        <w:rPr>
          <w:color w:val="000000"/>
        </w:rPr>
        <w:t>•</w:t>
      </w:r>
      <w:r>
        <w:rPr>
          <w:rFonts w:ascii="Times New Roman;serif" w:hAnsi="Times New Roman;serif"/>
          <w:b/>
          <w:color w:val="000000"/>
          <w:sz w:val="20"/>
        </w:rPr>
        <w:t>Drove another strong quarter of fine jewelry bookings</w:t>
      </w:r>
      <w:r>
        <w:rPr>
          <w:rFonts w:ascii="Times New Roman;serif" w:hAnsi="Times New Roman;serif"/>
          <w:b w:val="false"/>
          <w:color w:val="000000"/>
          <w:sz w:val="20"/>
        </w:rPr>
        <w:t>, with 32% year-over-year bookings growth, highlighting continued success in diversification beyond bridal heritage</w:t>
      </w:r>
    </w:p>
    <w:p>
      <w:pPr>
        <w:pStyle w:val="TextBody"/>
        <w:bidi w:val="0"/>
        <w:spacing w:lineRule="auto" w:line="300" w:before="0" w:after="2"/>
        <w:ind w:left="0" w:right="0" w:hanging="360"/>
        <w:jc w:val="left"/>
        <w:rPr/>
      </w:pPr>
      <w:r>
        <w:rPr>
          <w:color w:val="000000"/>
        </w:rPr>
        <w:t>•</w:t>
      </w:r>
      <w:r>
        <w:rPr>
          <w:rFonts w:ascii="Times New Roman;serif" w:hAnsi="Times New Roman;serif"/>
          <w:b/>
          <w:color w:val="000000"/>
          <w:sz w:val="20"/>
        </w:rPr>
        <w:t>Opened 43rd showroom in San Antonio</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the Company's second iteration of its new flagship concept Showroom of the Future</w:t>
      </w:r>
    </w:p>
    <w:p>
      <w:pPr>
        <w:pStyle w:val="TextBody"/>
        <w:bidi w:val="0"/>
        <w:spacing w:lineRule="auto" w:line="300" w:before="0" w:after="2"/>
        <w:ind w:left="0" w:right="0" w:hanging="360"/>
        <w:jc w:val="left"/>
        <w:rPr/>
      </w:pPr>
      <w:r>
        <w:rPr>
          <w:color w:val="000000"/>
        </w:rPr>
        <w:t>•</w:t>
      </w:r>
      <w:r>
        <w:rPr>
          <w:rFonts w:ascii="Times New Roman;serif" w:hAnsi="Times New Roman;serif"/>
          <w:b/>
          <w:color w:val="000000"/>
          <w:sz w:val="20"/>
        </w:rPr>
        <w:t>Achieved Gross Margin of 57.9%</w:t>
      </w:r>
      <w:r>
        <w:rPr>
          <w:color w:val="000000"/>
        </w:rPr>
        <w:t xml:space="preserve"> </w:t>
      </w:r>
      <w:r>
        <w:rPr>
          <w:rFonts w:ascii="Times New Roman;serif" w:hAnsi="Times New Roman;serif"/>
          <w:b w:val="false"/>
          <w:color w:val="000000"/>
          <w:sz w:val="20"/>
        </w:rPr>
        <w:t>in the second quarter, a 360 bps sequential improvement, demonstrating the agility of the Company's business model</w:t>
      </w:r>
    </w:p>
    <w:p>
      <w:pPr>
        <w:pStyle w:val="TextBody"/>
        <w:bidi w:val="0"/>
        <w:spacing w:lineRule="auto" w:line="300" w:before="0" w:after="2"/>
        <w:ind w:left="0" w:right="0" w:hanging="360"/>
        <w:jc w:val="left"/>
        <w:rPr/>
      </w:pPr>
      <w:r>
        <w:rPr>
          <w:color w:val="000000"/>
        </w:rPr>
        <w:t>•</w:t>
      </w:r>
      <w:r>
        <w:rPr>
          <w:rFonts w:ascii="Times New Roman;serif" w:hAnsi="Times New Roman;serif"/>
          <w:b/>
          <w:color w:val="000000"/>
          <w:sz w:val="20"/>
        </w:rPr>
        <w:t xml:space="preserve">Drove 250 basis points of year-over-year leverage in adjusted operating expense </w:t>
      </w:r>
      <w:r>
        <w:rPr>
          <w:rFonts w:ascii="Times New Roman;serif" w:hAnsi="Times New Roman;serif"/>
          <w:b w:val="false"/>
          <w:color w:val="000000"/>
          <w:sz w:val="20"/>
        </w:rPr>
        <w:t>as a percentage of Net Sales, demonstrating the Company's ability to increase profitability while continuing to drive growth</w:t>
      </w:r>
    </w:p>
    <w:p>
      <w:pPr>
        <w:pStyle w:val="TextBody"/>
        <w:bidi w:val="0"/>
        <w:spacing w:lineRule="auto" w:line="300" w:before="0" w:after="2"/>
        <w:ind w:left="0" w:right="0" w:hanging="360"/>
        <w:jc w:val="left"/>
        <w:rPr/>
      </w:pPr>
      <w:r>
        <w:rPr>
          <w:color w:val="000000"/>
        </w:rPr>
        <w:t>•</w:t>
      </w:r>
      <w:r>
        <w:rPr>
          <w:rFonts w:ascii="Times New Roman;serif" w:hAnsi="Times New Roman;serif"/>
          <w:b/>
          <w:color w:val="000000"/>
          <w:sz w:val="20"/>
        </w:rPr>
        <w:t>Delivered profitability exceeding the Company's Adjusted EBITDA guidance range:</w:t>
      </w:r>
    </w:p>
    <w:p>
      <w:pPr>
        <w:pStyle w:val="TextBody"/>
        <w:bidi w:val="0"/>
        <w:spacing w:lineRule="auto" w:line="300" w:before="0" w:after="2"/>
        <w:ind w:left="0" w:right="0" w:hanging="360"/>
        <w:jc w:val="left"/>
        <w:rPr/>
      </w:pPr>
      <w:r>
        <w:rPr>
          <w:color w:val="000000"/>
        </w:rPr>
        <w:t>◦</w:t>
      </w:r>
      <w:r>
        <w:rPr>
          <w:rFonts w:ascii="Times New Roman;serif" w:hAnsi="Times New Roman;serif"/>
          <w:b/>
          <w:color w:val="000000"/>
          <w:sz w:val="20"/>
        </w:rPr>
        <w:t xml:space="preserve">GAAP Net income was $0.8 million for the second quarter 2026; and </w:t>
      </w:r>
    </w:p>
    <w:p>
      <w:pPr>
        <w:pStyle w:val="TextBody"/>
        <w:bidi w:val="0"/>
        <w:spacing w:lineRule="auto" w:line="300" w:before="0" w:after="2"/>
        <w:ind w:left="0" w:right="0" w:hanging="360"/>
        <w:jc w:val="left"/>
        <w:rPr/>
      </w:pPr>
      <w:r>
        <w:rPr>
          <w:color w:val="000000"/>
        </w:rPr>
        <w:t>◦</w:t>
      </w:r>
      <w:r>
        <w:rPr>
          <w:rFonts w:ascii="Times New Roman;serif" w:hAnsi="Times New Roman;serif"/>
          <w:b/>
          <w:color w:val="000000"/>
          <w:sz w:val="20"/>
        </w:rPr>
        <w:t>Adjusted EBITDA was $5.8 million for the second quarter 2026</w:t>
      </w:r>
    </w:p>
    <w:p>
      <w:pPr>
        <w:pStyle w:val="TextBody"/>
        <w:bidi w:val="0"/>
        <w:spacing w:lineRule="auto" w:line="300" w:before="0" w:after="2"/>
        <w:ind w:left="0" w:right="0" w:hanging="360"/>
        <w:jc w:val="left"/>
        <w:rPr/>
      </w:pPr>
      <w:r>
        <w:rPr>
          <w:color w:val="000000"/>
        </w:rPr>
        <w:t>•</w:t>
      </w:r>
      <w:r>
        <w:rPr>
          <w:rFonts w:ascii="Times New Roman;serif" w:hAnsi="Times New Roman;serif"/>
          <w:b/>
          <w:color w:val="000000"/>
          <w:sz w:val="20"/>
        </w:rPr>
        <w:t>Raises annual Adjusted EBITDA guidance</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"We're thrilled with our second quarter results, with both Net Sales and Adjusted EBITDA well exceeding our guidance range. Our team's ability to drive top line growth, expand gross margin and improve operating expense leverage is the level of execution that continues to be a key differentiator for Brilliant Earth," said Beth Gerstein, Co-Founder and Chief Executive Officer of Brilliant Earth. "Fine jewelry continues to outperform and drive our intentional diversification beyond bridal. And the evolution, and elevation, of our retail strategy continues, with the opening of our new San Antonio showroom, the second iteration of our new showroom concept. Our second quarter results highlight the strengths of our premium brand, seamless omnichannel customer experience, and asset-light, data driven business model.” Jeff Kuo, Chief Financial Officer added, "Given our strong second quarter performance and confidence in the second half of the year, we are raising our annual profitability guidance."</w:t>
      </w:r>
    </w:p>
    <w:p>
      <w:pPr>
        <w:pStyle w:val="TextBody"/>
        <w:bidi w:val="0"/>
        <w:spacing w:before="0" w:after="2"/>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4"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40" w:before="160" w:after="160"/>
        <w:ind w:left="0" w:right="0" w:hanging="450"/>
        <w:jc w:val="both"/>
        <w:rPr>
          <w:rFonts w:ascii="Times New Roman;serif" w:hAnsi="Times New Roman;serif"/>
          <w:b/>
          <w:color w:val="000000"/>
          <w:sz w:val="20"/>
        </w:rPr>
      </w:pPr>
      <w:r>
        <w:rPr>
          <w:rFonts w:ascii="Times New Roman;serif" w:hAnsi="Times New Roman;serif"/>
          <w:b/>
          <w:color w:val="000000"/>
          <w:sz w:val="20"/>
        </w:rPr>
        <w:t>Second Quarter Results</w:t>
      </w:r>
    </w:p>
    <w:tbl>
      <w:tblPr>
        <w:tblW w:w="7833" w:type="dxa"/>
        <w:jc w:val="left"/>
        <w:tblInd w:w="0" w:type="dxa"/>
        <w:tblLayout w:type="fixed"/>
        <w:tblCellMar>
          <w:top w:w="28" w:type="dxa"/>
          <w:left w:w="28" w:type="dxa"/>
          <w:bottom w:w="28" w:type="dxa"/>
          <w:right w:w="28" w:type="dxa"/>
        </w:tblCellMar>
      </w:tblPr>
      <w:tblGrid>
        <w:gridCol w:w="1564"/>
        <w:gridCol w:w="1373"/>
        <w:gridCol w:w="1382"/>
        <w:gridCol w:w="109"/>
        <w:gridCol w:w="109"/>
        <w:gridCol w:w="109"/>
        <w:gridCol w:w="244"/>
        <w:gridCol w:w="244"/>
        <w:gridCol w:w="246"/>
        <w:gridCol w:w="109"/>
        <w:gridCol w:w="109"/>
        <w:gridCol w:w="109"/>
        <w:gridCol w:w="244"/>
        <w:gridCol w:w="244"/>
        <w:gridCol w:w="246"/>
        <w:gridCol w:w="109"/>
        <w:gridCol w:w="109"/>
        <w:gridCol w:w="109"/>
        <w:gridCol w:w="311"/>
        <w:gridCol w:w="311"/>
        <w:gridCol w:w="443"/>
      </w:tblGrid>
      <w:tr>
        <w:trPr/>
        <w:tc>
          <w:tcPr>
            <w:tcW w:w="156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u w:val="single"/>
              </w:rPr>
            </w:pPr>
            <w:r>
              <w:rPr>
                <w:rFonts w:ascii="Times New Roman;serif" w:hAnsi="Times New Roman;serif"/>
                <w:b/>
                <w:color w:val="000000"/>
                <w:sz w:val="18"/>
                <w:u w:val="single"/>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u w:val="single"/>
              </w:rPr>
            </w:pPr>
            <w:r>
              <w:rPr>
                <w:rFonts w:ascii="Times New Roman;serif" w:hAnsi="Times New Roman;serif"/>
                <w:b/>
                <w:color w:val="000000"/>
                <w:sz w:val="18"/>
                <w:u w:val="single"/>
              </w:rPr>
              <w:t>Q2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300" w:before="0" w:after="2"/>
              <w:jc w:val="center"/>
              <w:rPr>
                <w:rFonts w:ascii="Times New Roman;serif" w:hAnsi="Times New Roman;serif"/>
                <w:b/>
                <w:color w:val="000000"/>
                <w:sz w:val="18"/>
                <w:u w:val="single"/>
              </w:rPr>
            </w:pPr>
            <w:r>
              <w:rPr>
                <w:rFonts w:ascii="Times New Roman;serif" w:hAnsi="Times New Roman;serif"/>
                <w:b/>
                <w:color w:val="000000"/>
                <w:sz w:val="18"/>
                <w:u w:val="single"/>
              </w:rPr>
              <w:t>% Change*</w:t>
            </w:r>
          </w:p>
        </w:tc>
      </w:tr>
      <w:tr>
        <w:trPr/>
        <w:tc>
          <w:tcPr>
            <w:tcW w:w="4319" w:type="dxa"/>
            <w:gridSpan w:val="3"/>
            <w:tcBorders>
              <w:left w:val="single" w:sz="8" w:space="0" w:color="000000"/>
            </w:tcBorders>
            <w:shd w:fill="CCEEFF" w:val="clear"/>
            <w:tcMar>
              <w:top w:w="0" w:type="dxa"/>
              <w:left w:w="11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Orders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51,442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52,535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(2.1)%</w:t>
            </w:r>
          </w:p>
        </w:tc>
      </w:tr>
      <w:tr>
        <w:trPr/>
        <w:tc>
          <w:tcPr>
            <w:tcW w:w="4319" w:type="dxa"/>
            <w:gridSpan w:val="3"/>
            <w:tcBorders>
              <w:left w:val="single" w:sz="8" w:space="0" w:color="000000"/>
            </w:tcBorders>
            <w:shd w:fill="FFFFFF" w:val="clear"/>
            <w:tcMar>
              <w:top w:w="0" w:type="dxa"/>
              <w:left w:w="11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AOV</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2,238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2,074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7.9%</w:t>
            </w:r>
          </w:p>
        </w:tc>
      </w:tr>
      <w:tr>
        <w:trPr/>
        <w:tc>
          <w:tcPr>
            <w:tcW w:w="43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300" w:before="120" w:after="120"/>
              <w:jc w:val="left"/>
              <w:rPr/>
            </w:pPr>
            <w:r>
              <w:rPr>
                <w:rFonts w:ascii="Times New Roman;serif" w:hAnsi="Times New Roman;serif"/>
                <w:b w:val="false"/>
                <w:color w:val="000000"/>
                <w:sz w:val="18"/>
              </w:rPr>
              <w:t>(</w:t>
            </w:r>
            <w:r>
              <w:rPr>
                <w:rFonts w:ascii="Times New Roman;serif" w:hAnsi="Times New Roman;serif"/>
                <w:b/>
                <w:color w:val="000000"/>
                <w:sz w:val="18"/>
              </w:rPr>
              <w:t>$ in millions, except per share amounts</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left w:val="single" w:sz="8" w:space="0" w:color="000000"/>
            </w:tcBorders>
            <w:shd w:fill="FFFFFF" w:val="clear"/>
            <w:tcMar>
              <w:top w:w="0" w:type="dxa"/>
              <w:left w:w="11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115.1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108.9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5.7%</w:t>
            </w:r>
          </w:p>
        </w:tc>
      </w:tr>
      <w:tr>
        <w:trPr/>
        <w:tc>
          <w:tcPr>
            <w:tcW w:w="4319" w:type="dxa"/>
            <w:gridSpan w:val="3"/>
            <w:tcBorders>
              <w:left w:val="single" w:sz="8" w:space="0" w:color="000000"/>
            </w:tcBorders>
            <w:shd w:fill="CCEEFF" w:val="clear"/>
            <w:tcMar>
              <w:top w:w="0" w:type="dxa"/>
              <w:left w:w="11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66.6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4.9%</w:t>
            </w:r>
          </w:p>
        </w:tc>
      </w:tr>
      <w:tr>
        <w:trPr/>
        <w:tc>
          <w:tcPr>
            <w:tcW w:w="4319" w:type="dxa"/>
            <w:gridSpan w:val="3"/>
            <w:tcBorders>
              <w:left w:val="single" w:sz="8" w:space="0" w:color="000000"/>
            </w:tcBorders>
            <w:shd w:fill="FFFFFF" w:val="clear"/>
            <w:tcMar>
              <w:top w:w="0" w:type="dxa"/>
              <w:left w:w="11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57.9%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(40)bps</w:t>
            </w:r>
          </w:p>
        </w:tc>
      </w:tr>
      <w:tr>
        <w:trPr/>
        <w:tc>
          <w:tcPr>
            <w:tcW w:w="43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Net income (loss) allocable to Brilliant Earth Group, Inc.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112.0%</w:t>
            </w:r>
          </w:p>
        </w:tc>
      </w:tr>
      <w:tr>
        <w:trPr/>
        <w:tc>
          <w:tcPr>
            <w:tcW w:w="4319" w:type="dxa"/>
            <w:gridSpan w:val="3"/>
            <w:tcBorders>
              <w:left w:val="single" w:sz="8" w:space="0" w:color="000000"/>
            </w:tcBorders>
            <w:shd w:fill="FFFFFF" w:val="clear"/>
            <w:tcMar>
              <w:top w:w="0" w:type="dxa"/>
              <w:left w:w="11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 (loss),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175.7%</w:t>
            </w:r>
          </w:p>
        </w:tc>
      </w:tr>
      <w:tr>
        <w:trPr/>
        <w:tc>
          <w:tcPr>
            <w:tcW w:w="4319" w:type="dxa"/>
            <w:gridSpan w:val="3"/>
            <w:tcBorders>
              <w:left w:val="single" w:sz="8" w:space="0" w:color="000000"/>
            </w:tcBorders>
            <w:shd w:fill="CCEEFF" w:val="clear"/>
            <w:tcMar>
              <w:top w:w="0" w:type="dxa"/>
              <w:left w:w="11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 (loss)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170bps</w:t>
            </w:r>
          </w:p>
        </w:tc>
      </w:tr>
      <w:tr>
        <w:trPr/>
        <w:tc>
          <w:tcPr>
            <w:tcW w:w="43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Adjusted net income </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190.9%</w:t>
            </w:r>
          </w:p>
        </w:tc>
      </w:tr>
      <w:tr>
        <w:trPr/>
        <w:tc>
          <w:tcPr>
            <w:tcW w:w="43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GAAP Diluted EPS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200.0%</w:t>
            </w:r>
          </w:p>
        </w:tc>
      </w:tr>
      <w:tr>
        <w:trPr/>
        <w:tc>
          <w:tcPr>
            <w:tcW w:w="43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Adjusted Diluted EPS </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200.0%</w:t>
            </w:r>
          </w:p>
        </w:tc>
      </w:tr>
      <w:tr>
        <w:trPr/>
        <w:tc>
          <w:tcPr>
            <w:tcW w:w="43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Adjusted EBITDA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81.3%</w:t>
            </w:r>
          </w:p>
        </w:tc>
      </w:tr>
      <w:tr>
        <w:trPr/>
        <w:tc>
          <w:tcPr>
            <w:tcW w:w="4319"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Adjusted EBITDA margin </w:t>
            </w:r>
            <w:r>
              <w:rPr>
                <w:rFonts w:ascii="Times New Roman;serif" w:hAnsi="Times New Roman;serif"/>
                <w:b w:val="false"/>
                <w:color w:val="000000"/>
                <w:sz w:val="12"/>
              </w:rPr>
              <w:t>(3)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2.9%</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210bps</w:t>
            </w:r>
          </w:p>
        </w:tc>
      </w:tr>
    </w:tbl>
    <w:p>
      <w:pPr>
        <w:pStyle w:val="TextBody"/>
        <w:bidi w:val="0"/>
        <w:spacing w:lineRule="auto" w:line="300" w:before="0" w:after="2"/>
        <w:jc w:val="both"/>
        <w:rPr>
          <w:color w:val="000000"/>
        </w:rPr>
      </w:pPr>
      <w:r>
        <w:rPr>
          <w:color w:val="000000"/>
        </w:rPr>
        <w:t>    </w:t>
      </w:r>
    </w:p>
    <w:p>
      <w:pPr>
        <w:pStyle w:val="TextBody"/>
        <w:bidi w:val="0"/>
        <w:spacing w:before="0" w:after="2"/>
        <w:jc w:val="both"/>
        <w:rPr/>
      </w:pPr>
      <w:r>
        <w:rPr/>
      </w:r>
    </w:p>
    <w:p>
      <w:pPr>
        <w:pStyle w:val="TextBody"/>
        <w:bidi w:val="0"/>
        <w:spacing w:lineRule="auto" w:line="300" w:before="0" w:after="2"/>
        <w:jc w:val="both"/>
        <w:rPr/>
      </w:pPr>
      <w:r>
        <w:rPr>
          <w:rFonts w:ascii="Times New Roman;serif" w:hAnsi="Times New Roman;serif"/>
          <w:b/>
          <w:color w:val="000000"/>
          <w:sz w:val="20"/>
        </w:rPr>
        <w:t>Six Month Results</w:t>
      </w:r>
      <w:r>
        <w:rPr>
          <w:color w:val="000000"/>
        </w:rPr>
        <w:t xml:space="preserve"> </w:t>
      </w:r>
    </w:p>
    <w:tbl>
      <w:tblPr>
        <w:tblW w:w="8330" w:type="dxa"/>
        <w:jc w:val="left"/>
        <w:tblInd w:w="0" w:type="dxa"/>
        <w:tblLayout w:type="fixed"/>
        <w:tblCellMar>
          <w:top w:w="28" w:type="dxa"/>
          <w:left w:w="28" w:type="dxa"/>
          <w:bottom w:w="28" w:type="dxa"/>
          <w:right w:w="28" w:type="dxa"/>
        </w:tblCellMar>
      </w:tblPr>
      <w:tblGrid>
        <w:gridCol w:w="1320"/>
        <w:gridCol w:w="1158"/>
        <w:gridCol w:w="1166"/>
        <w:gridCol w:w="109"/>
        <w:gridCol w:w="109"/>
        <w:gridCol w:w="109"/>
        <w:gridCol w:w="439"/>
        <w:gridCol w:w="439"/>
        <w:gridCol w:w="442"/>
        <w:gridCol w:w="109"/>
        <w:gridCol w:w="109"/>
        <w:gridCol w:w="109"/>
        <w:gridCol w:w="439"/>
        <w:gridCol w:w="439"/>
        <w:gridCol w:w="442"/>
        <w:gridCol w:w="109"/>
        <w:gridCol w:w="109"/>
        <w:gridCol w:w="109"/>
        <w:gridCol w:w="311"/>
        <w:gridCol w:w="311"/>
        <w:gridCol w:w="443"/>
      </w:tblGrid>
      <w:tr>
        <w:trPr/>
        <w:tc>
          <w:tcPr>
            <w:tcW w:w="132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u w:val="single"/>
              </w:rPr>
            </w:pPr>
            <w:r>
              <w:rPr>
                <w:rFonts w:ascii="Times New Roman;serif" w:hAnsi="Times New Roman;serif"/>
                <w:b/>
                <w:color w:val="000000"/>
                <w:sz w:val="18"/>
                <w:u w:val="single"/>
              </w:rPr>
              <w:t>YTD June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u w:val="single"/>
              </w:rPr>
            </w:pPr>
            <w:r>
              <w:rPr>
                <w:rFonts w:ascii="Times New Roman;serif" w:hAnsi="Times New Roman;serif"/>
                <w:b/>
                <w:color w:val="000000"/>
                <w:sz w:val="18"/>
                <w:u w:val="single"/>
              </w:rPr>
              <w:t>YTD June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300" w:before="0" w:after="2"/>
              <w:jc w:val="center"/>
              <w:rPr>
                <w:rFonts w:ascii="Times New Roman;serif" w:hAnsi="Times New Roman;serif"/>
                <w:b/>
                <w:color w:val="000000"/>
                <w:sz w:val="18"/>
                <w:u w:val="single"/>
              </w:rPr>
            </w:pPr>
            <w:r>
              <w:rPr>
                <w:rFonts w:ascii="Times New Roman;serif" w:hAnsi="Times New Roman;serif"/>
                <w:b/>
                <w:color w:val="000000"/>
                <w:sz w:val="18"/>
                <w:u w:val="single"/>
              </w:rPr>
              <w:t>% Change*</w:t>
            </w:r>
          </w:p>
        </w:tc>
      </w:tr>
      <w:tr>
        <w:trPr/>
        <w:tc>
          <w:tcPr>
            <w:tcW w:w="3644" w:type="dxa"/>
            <w:gridSpan w:val="3"/>
            <w:tcBorders>
              <w:left w:val="single" w:sz="8" w:space="0" w:color="000000"/>
            </w:tcBorders>
            <w:shd w:fill="CCEEFF" w:val="clear"/>
            <w:tcMar>
              <w:top w:w="0" w:type="dxa"/>
              <w:left w:w="11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Orders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98,134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98,070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0.1%</w:t>
            </w:r>
          </w:p>
        </w:tc>
      </w:tr>
      <w:tr>
        <w:trPr/>
        <w:tc>
          <w:tcPr>
            <w:tcW w:w="3644" w:type="dxa"/>
            <w:gridSpan w:val="3"/>
            <w:tcBorders>
              <w:left w:val="single" w:sz="8" w:space="0" w:color="000000"/>
            </w:tcBorders>
            <w:shd w:fill="FFFFFF" w:val="clear"/>
            <w:tcMar>
              <w:top w:w="0" w:type="dxa"/>
              <w:left w:w="11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AOV</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2,187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2,068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5.8%</w:t>
            </w:r>
          </w:p>
        </w:tc>
      </w:tr>
      <w:tr>
        <w:trPr/>
        <w:tc>
          <w:tcPr>
            <w:tcW w:w="364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300" w:before="120" w:after="120"/>
              <w:jc w:val="left"/>
              <w:rPr/>
            </w:pPr>
            <w:r>
              <w:rPr>
                <w:rFonts w:ascii="Times New Roman;serif" w:hAnsi="Times New Roman;serif"/>
                <w:b w:val="false"/>
                <w:color w:val="000000"/>
                <w:sz w:val="18"/>
              </w:rPr>
              <w:t>(</w:t>
            </w:r>
            <w:r>
              <w:rPr>
                <w:rFonts w:ascii="Times New Roman;serif" w:hAnsi="Times New Roman;serif"/>
                <w:b/>
                <w:color w:val="000000"/>
                <w:sz w:val="18"/>
              </w:rPr>
              <w:t>$ in millions, except per share amounts</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left w:val="single" w:sz="8" w:space="0" w:color="000000"/>
            </w:tcBorders>
            <w:shd w:fill="FFFFFF" w:val="clear"/>
            <w:tcMar>
              <w:top w:w="0" w:type="dxa"/>
              <w:left w:w="11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214.6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5.8%</w:t>
            </w:r>
          </w:p>
        </w:tc>
      </w:tr>
      <w:tr>
        <w:trPr/>
        <w:tc>
          <w:tcPr>
            <w:tcW w:w="3644" w:type="dxa"/>
            <w:gridSpan w:val="3"/>
            <w:tcBorders>
              <w:left w:val="single" w:sz="8" w:space="0" w:color="000000"/>
            </w:tcBorders>
            <w:shd w:fill="CCEEFF" w:val="clear"/>
            <w:tcMar>
              <w:top w:w="0" w:type="dxa"/>
              <w:left w:w="11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120.7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1.9%</w:t>
            </w:r>
          </w:p>
        </w:tc>
      </w:tr>
      <w:tr>
        <w:trPr/>
        <w:tc>
          <w:tcPr>
            <w:tcW w:w="3644" w:type="dxa"/>
            <w:gridSpan w:val="3"/>
            <w:tcBorders>
              <w:left w:val="single" w:sz="8" w:space="0" w:color="000000"/>
            </w:tcBorders>
            <w:shd w:fill="FFFFFF" w:val="clear"/>
            <w:tcMar>
              <w:top w:w="0" w:type="dxa"/>
              <w:left w:w="11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58.4%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(220)bps</w:t>
            </w:r>
          </w:p>
        </w:tc>
      </w:tr>
      <w:tr>
        <w:trPr/>
        <w:tc>
          <w:tcPr>
            <w:tcW w:w="364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Net loss allocable to Brilliant Earth Group, Inc.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(150.0)%</w:t>
            </w:r>
          </w:p>
        </w:tc>
      </w:tr>
      <w:tr>
        <w:trPr/>
        <w:tc>
          <w:tcPr>
            <w:tcW w:w="3644" w:type="dxa"/>
            <w:gridSpan w:val="3"/>
            <w:tcBorders>
              <w:left w:val="single" w:sz="8" w:space="0" w:color="000000"/>
            </w:tcBorders>
            <w:shd w:fill="FFFFFF" w:val="clear"/>
            <w:tcMar>
              <w:top w:w="0" w:type="dxa"/>
              <w:left w:w="11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loss,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(73.8)%</w:t>
            </w:r>
          </w:p>
        </w:tc>
      </w:tr>
      <w:tr>
        <w:trPr/>
        <w:tc>
          <w:tcPr>
            <w:tcW w:w="3644" w:type="dxa"/>
            <w:gridSpan w:val="3"/>
            <w:tcBorders>
              <w:left w:val="single" w:sz="8" w:space="0" w:color="000000"/>
            </w:tcBorders>
            <w:shd w:fill="CCEEFF" w:val="clear"/>
            <w:tcMar>
              <w:top w:w="0" w:type="dxa"/>
              <w:left w:w="11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loss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(130)bps</w:t>
            </w:r>
          </w:p>
        </w:tc>
      </w:tr>
      <w:tr>
        <w:trPr/>
        <w:tc>
          <w:tcPr>
            <w:tcW w:w="364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Adjusted net income (loss) </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(342.9)%</w:t>
            </w:r>
          </w:p>
        </w:tc>
      </w:tr>
      <w:tr>
        <w:trPr/>
        <w:tc>
          <w:tcPr>
            <w:tcW w:w="364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GAAP Diluted EPS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(0.09)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(125.0)%</w:t>
            </w:r>
          </w:p>
        </w:tc>
      </w:tr>
      <w:tr>
        <w:trPr/>
        <w:tc>
          <w:tcPr>
            <w:tcW w:w="364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Adjusted Diluted EPS </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(0.02)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(300.0)%</w:t>
            </w:r>
          </w:p>
        </w:tc>
      </w:tr>
      <w:tr>
        <w:trPr/>
        <w:tc>
          <w:tcPr>
            <w:tcW w:w="364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Adjusted EBITDA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(75.0)%</w:t>
            </w:r>
          </w:p>
        </w:tc>
      </w:tr>
      <w:tr>
        <w:trPr/>
        <w:tc>
          <w:tcPr>
            <w:tcW w:w="3644"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Adjusted EBITDA margin </w:t>
            </w:r>
            <w:r>
              <w:rPr>
                <w:rFonts w:ascii="Times New Roman;serif" w:hAnsi="Times New Roman;serif"/>
                <w:b w:val="false"/>
                <w:color w:val="000000"/>
                <w:sz w:val="12"/>
              </w:rPr>
              <w:t>(3)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0.5%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(160)bps</w:t>
            </w:r>
          </w:p>
        </w:tc>
      </w:tr>
    </w:tbl>
    <w:p>
      <w:pPr>
        <w:pStyle w:val="TextBody"/>
        <w:bidi w:val="0"/>
        <w:spacing w:lineRule="auto" w:line="240"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*nm - Not meaningful</w:t>
      </w:r>
    </w:p>
    <w:p>
      <w:pPr>
        <w:pStyle w:val="TextBody"/>
        <w:bidi w:val="0"/>
        <w:spacing w:lineRule="auto" w:line="300" w:before="0" w:after="2"/>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*Percentage changes may not recalculate due to rounding</w:t>
      </w:r>
    </w:p>
    <w:p>
      <w:pPr>
        <w:pStyle w:val="TextBody"/>
        <w:bidi w:val="0"/>
        <w:spacing w:lineRule="auto" w:line="240" w:before="0" w:after="2"/>
        <w:ind w:left="0" w:right="0" w:hanging="450"/>
        <w:jc w:val="both"/>
        <w:rPr/>
      </w:pPr>
      <w:r>
        <w:rPr>
          <w:rFonts w:ascii="Times New Roman;serif" w:hAnsi="Times New Roman;serif"/>
          <w:b w:val="false"/>
          <w:color w:val="000000"/>
          <w:sz w:val="18"/>
          <w:shd w:fill="FFFFFF" w:val="clear"/>
        </w:rPr>
        <w:t xml:space="preserve">(1)    Represents net income (loss) allocable to Brilliant Earth Group, Inc. during the </w:t>
      </w:r>
      <w:r>
        <w:rPr>
          <w:rFonts w:ascii="Times New Roman;serif" w:hAnsi="Times New Roman;serif"/>
          <w:b w:val="false"/>
          <w:color w:val="000000"/>
          <w:sz w:val="18"/>
        </w:rPr>
        <w:t>three and six months ended June 30, 2026 and 2025.</w:t>
      </w:r>
    </w:p>
    <w:p>
      <w:pPr>
        <w:pStyle w:val="TextBody"/>
        <w:bidi w:val="0"/>
        <w:spacing w:lineRule="auto" w:line="244" w:before="0" w:after="2"/>
        <w:ind w:left="0" w:right="0" w:hanging="450"/>
        <w:jc w:val="both"/>
        <w:rPr/>
      </w:pPr>
      <w:r>
        <w:rPr>
          <w:rFonts w:ascii="Times New Roman;serif" w:hAnsi="Times New Roman;serif"/>
          <w:b w:val="false"/>
          <w:color w:val="000000"/>
          <w:sz w:val="18"/>
          <w:shd w:fill="FFFFFF" w:val="clear"/>
        </w:rPr>
        <w:t xml:space="preserve">(2)    Represents GAAP Diluted EPS during the </w:t>
      </w:r>
      <w:r>
        <w:rPr>
          <w:rFonts w:ascii="Times New Roman;serif" w:hAnsi="Times New Roman;serif"/>
          <w:b w:val="false"/>
          <w:color w:val="000000"/>
          <w:sz w:val="18"/>
        </w:rPr>
        <w:t>three and six months ended June 30, 2026 and 2025.</w:t>
      </w:r>
    </w:p>
    <w:p>
      <w:pPr>
        <w:pStyle w:val="TextBody"/>
        <w:bidi w:val="0"/>
        <w:spacing w:lineRule="auto" w:line="240"/>
        <w:ind w:left="0" w:right="0" w:hanging="45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    Adjusted net income (loss), Adjusted Diluted EPS, Adjusted EBITDA and Adjusted EBITDA margin are non-GAAP financial measures. See "Disclosure Regarding Non-GAAP Financial Measures and Key Metrics" for additional information on non-GAAP financial measures and a reconciliation to the most comparable GAAP measures.</w:t>
      </w:r>
    </w:p>
    <w:p>
      <w:pPr>
        <w:pStyle w:val="TextBody"/>
        <w:bidi w:val="0"/>
        <w:spacing w:before="0" w:after="2"/>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0" w:after="40"/>
        <w:jc w:val="both"/>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2026 Outlook</w:t>
      </w:r>
    </w:p>
    <w:p>
      <w:pPr>
        <w:pStyle w:val="TextBody"/>
        <w:bidi w:val="0"/>
        <w:spacing w:before="0" w:after="120"/>
        <w:jc w:val="left"/>
        <w:rPr/>
      </w:pPr>
      <w:r>
        <w:rPr/>
      </w:r>
    </w:p>
    <w:p>
      <w:pPr>
        <w:pStyle w:val="TextBody"/>
        <w:bidi w:val="0"/>
        <w:spacing w:lineRule="auto" w:line="300" w:before="0" w:after="40"/>
        <w:ind w:left="0" w:right="0" w:firstLine="720"/>
        <w:jc w:val="left"/>
        <w:rPr>
          <w:rFonts w:ascii="Times New Roman;serif" w:hAnsi="Times New Roman;serif"/>
          <w:b/>
          <w:color w:val="000000"/>
          <w:sz w:val="20"/>
        </w:rPr>
      </w:pPr>
      <w:r>
        <w:rPr>
          <w:rFonts w:ascii="Times New Roman;serif" w:hAnsi="Times New Roman;serif"/>
          <w:b/>
          <w:color w:val="000000"/>
          <w:sz w:val="20"/>
        </w:rPr>
        <w:t>Third Quarter</w:t>
      </w:r>
    </w:p>
    <w:tbl>
      <w:tblPr>
        <w:tblW w:w="3764" w:type="dxa"/>
        <w:jc w:val="left"/>
        <w:tblInd w:w="0" w:type="dxa"/>
        <w:tblLayout w:type="fixed"/>
        <w:tblCellMar>
          <w:top w:w="28" w:type="dxa"/>
          <w:left w:w="28" w:type="dxa"/>
          <w:bottom w:w="28" w:type="dxa"/>
          <w:right w:w="28" w:type="dxa"/>
        </w:tblCellMar>
      </w:tblPr>
      <w:tblGrid>
        <w:gridCol w:w="635"/>
        <w:gridCol w:w="557"/>
        <w:gridCol w:w="562"/>
        <w:gridCol w:w="588"/>
        <w:gridCol w:w="588"/>
        <w:gridCol w:w="834"/>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Net Sales Growth</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Approximately flat y/y</w:t>
            </w:r>
          </w:p>
        </w:tc>
      </w:tr>
      <w:tr>
        <w:trPr/>
        <w:tc>
          <w:tcPr>
            <w:tcW w:w="175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Adjusted EBITDA $</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$3 - $5M</w:t>
            </w:r>
          </w:p>
        </w:tc>
      </w:tr>
    </w:tbl>
    <w:p>
      <w:pPr>
        <w:pStyle w:val="TextBody"/>
        <w:bidi w:val="0"/>
        <w:spacing w:lineRule="auto" w:line="300" w:before="0" w:after="4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Full Year </w:t>
      </w:r>
    </w:p>
    <w:tbl>
      <w:tblPr>
        <w:tblW w:w="3073" w:type="dxa"/>
        <w:jc w:val="left"/>
        <w:tblInd w:w="0" w:type="dxa"/>
        <w:tblLayout w:type="fixed"/>
        <w:tblCellMar>
          <w:top w:w="28" w:type="dxa"/>
          <w:left w:w="28" w:type="dxa"/>
          <w:bottom w:w="28" w:type="dxa"/>
          <w:right w:w="28" w:type="dxa"/>
        </w:tblCellMar>
      </w:tblPr>
      <w:tblGrid>
        <w:gridCol w:w="636"/>
        <w:gridCol w:w="557"/>
        <w:gridCol w:w="561"/>
        <w:gridCol w:w="385"/>
        <w:gridCol w:w="385"/>
        <w:gridCol w:w="549"/>
      </w:tblGrid>
      <w:tr>
        <w:trPr/>
        <w:tc>
          <w:tcPr>
            <w:tcW w:w="63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Net Sales</w:t>
            </w:r>
          </w:p>
        </w:tc>
        <w:tc>
          <w:tcPr>
            <w:tcW w:w="131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$459 - $462M</w:t>
            </w:r>
          </w:p>
        </w:tc>
      </w:tr>
      <w:tr>
        <w:trPr/>
        <w:tc>
          <w:tcPr>
            <w:tcW w:w="175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Adjusted EBITDA $</w:t>
            </w:r>
          </w:p>
        </w:tc>
        <w:tc>
          <w:tcPr>
            <w:tcW w:w="131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$13 - $15M</w:t>
            </w:r>
          </w:p>
        </w:tc>
      </w:tr>
    </w:tbl>
    <w:p>
      <w:pPr>
        <w:pStyle w:val="TextBody"/>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Outlook assumes tariffs and metal prices as of August 4th, 2026.</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Webcast and Conference Call Information</w:t>
      </w:r>
    </w:p>
    <w:p>
      <w:pPr>
        <w:pStyle w:val="TextBody"/>
        <w:bidi w:val="0"/>
        <w:spacing w:lineRule="auto" w:line="278" w:before="0" w:after="0"/>
        <w:jc w:val="left"/>
        <w:rPr/>
      </w:pPr>
      <w:r>
        <w:rPr>
          <w:rFonts w:ascii="Times New Roman;serif" w:hAnsi="Times New Roman;serif"/>
          <w:b w:val="false"/>
          <w:color w:val="000000"/>
          <w:sz w:val="20"/>
        </w:rPr>
        <w:t xml:space="preserve">Brilliant Earth will host a conference call and webcast to discuss second quarter 2026 results and business outlook today, August 6, 2026, at 8:30 a.m. ET/5:30 a.m. PT. The webcast and accompanying slide presentation can be accessed at </w:t>
      </w:r>
      <w:r>
        <w:rPr>
          <w:rFonts w:ascii="Times New Roman;serif" w:hAnsi="Times New Roman;serif"/>
          <w:b w:val="false"/>
          <w:color w:val="3051F2"/>
          <w:sz w:val="20"/>
        </w:rPr>
        <w:t>https://investors.brilliantearth.com</w:t>
      </w:r>
      <w:r>
        <w:rPr>
          <w:rFonts w:ascii="Times New Roman;serif" w:hAnsi="Times New Roman;serif"/>
          <w:b w:val="false"/>
          <w:color w:val="000000"/>
          <w:sz w:val="20"/>
        </w:rPr>
        <w:t>. Investors and analysts interested in participating on the call are invited to dial +1-800-715-9871 from the US or +1-646-307-1963 internationally and reference Conference ID: 8419663. A replay of the event will be available approximately two hours following the conclusion of the call and remain available on the Brilliant Earth investor website after the live webcast concludes. The replay will be available for one year following the webcast.</w:t>
      </w:r>
    </w:p>
    <w:p>
      <w:pPr>
        <w:pStyle w:val="TextBody"/>
        <w:bidi w:val="0"/>
        <w:spacing w:before="0" w:after="2"/>
        <w:jc w:val="both"/>
        <w:rPr/>
      </w:pPr>
      <w:r>
        <w:rPr/>
      </w:r>
    </w:p>
    <w:p>
      <w:pPr>
        <w:pStyle w:val="TextBody"/>
        <w:bidi w:val="0"/>
        <w:spacing w:lineRule="auto" w:line="300" w:before="0" w:after="2"/>
        <w:jc w:val="both"/>
        <w:rPr/>
      </w:pPr>
      <w:r>
        <w:rPr>
          <w:rFonts w:ascii="Times New Roman;serif" w:hAnsi="Times New Roman;serif"/>
          <w:b/>
          <w:color w:val="000000"/>
          <w:sz w:val="20"/>
          <w:shd w:fill="FFFFFF" w:val="clear"/>
        </w:rPr>
        <w:t>About Brilliant Earth</w:t>
      </w:r>
      <w:r>
        <w:rPr>
          <w:color w:val="000000"/>
          <w:shd w:fill="FFFFFF" w:val="clear"/>
        </w:rPr>
        <w:t> </w:t>
      </w:r>
    </w:p>
    <w:p>
      <w:pPr>
        <w:pStyle w:val="TextBody"/>
        <w:bidi w:val="0"/>
        <w:spacing w:lineRule="auto" w:line="288" w:before="0" w:after="0"/>
        <w:jc w:val="both"/>
        <w:rPr/>
      </w:pPr>
      <w:r>
        <w:rPr>
          <w:rFonts w:ascii="Times New Roman;serif" w:hAnsi="Times New Roman;serif"/>
          <w:b w:val="false"/>
          <w:color w:val="000000"/>
          <w:sz w:val="20"/>
        </w:rPr>
        <w:t>Brilliant Earth is an industry-disrupting global leader in ethically sourced fine jewelry. The Company's mission since its founding in 2005 has been to create a more transparent, sustainable, and compassionate jewelry industry. With a premium brand, curated proprietary product assortment, seamless omnichannel shopping experience, and asset-light, data driven business model, Brilliant Earth is transforming the jewelry industry.</w:t>
      </w:r>
      <w:r>
        <w:rPr>
          <w:color w:val="000000"/>
          <w:shd w:fill="FFFFFF" w:val="clear"/>
        </w:rPr>
        <w:t xml:space="preserve"> </w:t>
      </w:r>
      <w:r>
        <w:rPr>
          <w:rFonts w:ascii="Times New Roman;serif" w:hAnsi="Times New Roman;serif"/>
          <w:b w:val="false"/>
          <w:color w:val="000000"/>
          <w:sz w:val="20"/>
          <w:shd w:fill="FFFFFF" w:val="clear"/>
        </w:rPr>
        <w:t>The Company reported Net Sales of $437 million for the full year 2025. Headquartered in San Francisco, CA, Brillia</w:t>
      </w:r>
      <w:r>
        <w:rPr>
          <w:rFonts w:ascii="Times New Roman;serif" w:hAnsi="Times New Roman;serif"/>
          <w:b w:val="false"/>
          <w:color w:val="000000"/>
          <w:sz w:val="20"/>
        </w:rPr>
        <w:t xml:space="preserve">nt Earth has 43 showrooms and counting across the United States and has served customers in over 50 countries worldwide.  </w:t>
      </w:r>
    </w:p>
    <w:p>
      <w:pPr>
        <w:pStyle w:val="TextBody"/>
        <w:bidi w:val="0"/>
        <w:spacing w:before="1" w:after="1"/>
        <w:jc w:val="both"/>
        <w:rPr/>
      </w:pPr>
      <w:r>
        <w:rPr/>
      </w:r>
    </w:p>
    <w:p>
      <w:pPr>
        <w:pStyle w:val="TextBody"/>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Disclosure Regarding Non-GAAP Financial Measures and Key Metrics</w:t>
      </w:r>
    </w:p>
    <w:p>
      <w:pPr>
        <w:pStyle w:val="TextBody"/>
        <w:bidi w:val="0"/>
        <w:spacing w:before="0" w:after="2"/>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financial measures presented in this release in accordance with U.S. Generally Accepted Accounting Principles ("GAAP"), the Company has included certain non-GAAP financial measures in this release, including Adjusted EBITDA, Adjusted Net income (loss), Adjusted Diluted EPS and Adjusted EBITDA margin. These non-GAAP financial measures provide users of our financial information with useful information in evaluating our operating performance and exclude certain items from net income that may vary substantially in frequency and magnitude from period to period.</w:t>
      </w:r>
    </w:p>
    <w:p>
      <w:pPr>
        <w:pStyle w:val="TextBody"/>
        <w:bidi w:val="0"/>
        <w:spacing w:before="0" w:after="2"/>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We define EBITDA as net income (loss) before interest, taxes, depreciation and amortization. We define Adjusted EBITDA as net income (loss) excluding interest expense, income taxes, depreciation expense, amortization of cloud-based software implementation costs, showroom pre-opening expense, equity-based compensation expense, certain non-operating expenses and income, and other unusual and/or infrequent costs, which that we do not consider in our evaluation of ongoing performance of our core operations. We define Adjusted EBITDA margin as Adjusted EBITDA calculated as a percentage of net sales. We believe that Adjusted EBITDA and Adjusted EBITDA margin, which eliminate the impact of certain expenses that we do not believe reflect our underlying business performance, provide useful information to investors to assess the performance of our business.</w:t>
      </w:r>
    </w:p>
    <w:p>
      <w:pPr>
        <w:pStyle w:val="TextBody"/>
        <w:bidi w:val="0"/>
        <w:spacing w:before="0" w:after="2"/>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before="0" w:after="2"/>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Net income (loss) as net income (loss) adjusted for the impact of certain additional non-cash and other items that we do not consider in our evaluation of ongoing performance of our core operations. These items include showroom pre-opening expense, equity-based compensation expense, costs to fund the Brilliant Earth Foundation and transaction costs and other expenses. We define Adjusted Diluted Earnings Per Share as Adjusted Net income (loss), divided by the diluted weighted average shares of common stock outstanding. The diluted weighted average shares of common stock outstanding is derived from the historical diluted weighted average shares of common stock assuming such shares were outstanding for the entirety of the period presented. We believe Adjusted Net income (loss) and Adjusted Diluted Earnings Per Share, which eliminate the impact of certain expenses that we do not believe reflect our underlying business performance, provide useful information to investors to assess the performance of our business. </w:t>
      </w:r>
    </w:p>
    <w:p>
      <w:pPr>
        <w:pStyle w:val="TextBody"/>
        <w:bidi w:val="0"/>
        <w:spacing w:before="0" w:after="2"/>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Please refer to “GAAP to Non-GAAP Reconciliations” located in the financial supplement in this release for a reconciliation of GAAP to non-GAAP financial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release includes forward-looking guidance for certain non-GAAP financial measures, including Adjusted EBITDA. These measures will differ from net income (loss), determined in accordance with GAAP, in ways similar to those described in the reconciliations at the end of this release. We are not able to provide, without unreasonable effort, guidance for net income (loss), determined in accordance with GAAP, or a reconciliation of guidance for Adjusted EBITDA to the most directly comparable GAAP measure because the Company is not able to predict with reasonable certainty the amount or nature of all items that will be included in net income (loss).</w:t>
      </w:r>
    </w:p>
    <w:p>
      <w:pPr>
        <w:pStyle w:val="TextBody"/>
        <w:bidi w:val="0"/>
        <w:spacing w:before="0" w:after="2"/>
        <w:jc w:val="both"/>
        <w:rPr/>
      </w:pPr>
      <w:r>
        <w:rPr/>
      </w:r>
    </w:p>
    <w:p>
      <w:pPr>
        <w:pStyle w:val="TextBody"/>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This press release also contains certain key business metrics which are used to evaluate our business and growth trends, establish budgets, measure the effectiveness of our sales and marketing efforts, and assess operational efficiencies. We define net cash as cash and cash equivalents less the total principal balance of our outstanding debt. We define Bookings for each period as the dollar value of confirmed orders as of the date of order placement. We believe Bookings, which represent a measure of gross sales and potential future Net Sales, provide useful information to investors to assess the performance of our business. We define total orders as the total number of customer orders delivered less total orders returned in a given period (excluding those repair, resize, and other orders which have no revenue). We view total orders as a key indicator of the velocity of our business and an indication of the desirability of our products to our customers. Total orders, together with AOV, is an indicator of the net sales we expect to recognize in a given period. Total orders may fluctuate based on the number of visitors to our website and showrooms, and our ability to convert these visitors to customers. We believe that total orders is a measure that is useful to investors and management in understanding our ongoing operations and in an analysis of ongoing operating trends. We define average order value, or AOV, as net sales in a given period divided by total orders in that period. We define average selling price, or ASP, as the total retail sales price of products sold in a given period divided by the total number of product units sold during that same period. We believe that AOV and ASP are measures that are useful to investors and management in understanding our ongoing operations and in an analysis of ongoing operating trends. AOV varies depending on the product type and number of items per order. AOV and ASP may also fluctuate as we expand into and increase our presence in additional product types and price points, and open additional showrooms.</w:t>
      </w:r>
    </w:p>
    <w:p>
      <w:pPr>
        <w:pStyle w:val="TextBody"/>
        <w:bidi w:val="0"/>
        <w:spacing w:before="0" w:after="2"/>
        <w:jc w:val="both"/>
        <w:rPr/>
      </w:pPr>
      <w:r>
        <w:rPr/>
      </w:r>
    </w:p>
    <w:p>
      <w:pPr>
        <w:pStyle w:val="TextBody"/>
        <w:bidi w:val="0"/>
        <w:spacing w:lineRule="auto" w:line="276" w:before="1" w:after="1"/>
        <w:jc w:val="both"/>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before="1" w:after="1"/>
        <w:jc w:val="both"/>
        <w:rPr/>
      </w:pPr>
      <w:r>
        <w:rPr/>
      </w:r>
    </w:p>
    <w:p>
      <w:pPr>
        <w:pStyle w:val="TextBody"/>
        <w:bidi w:val="0"/>
        <w:spacing w:lineRule="auto" w:line="276"/>
        <w:jc w:val="left"/>
        <w:rPr>
          <w:rFonts w:ascii="Times New Roman;serif" w:hAnsi="Times New Roman;serif"/>
          <w:b w:val="false"/>
          <w:color w:val="403F3F"/>
          <w:sz w:val="20"/>
        </w:rPr>
      </w:pPr>
      <w:r>
        <w:rPr>
          <w:rFonts w:ascii="Times New Roman;serif" w:hAnsi="Times New Roman;serif"/>
          <w:b w:val="false"/>
          <w:color w:val="403F3F"/>
          <w:sz w:val="20"/>
        </w:rPr>
        <w:t xml:space="preserve">This press release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press release may be forward-looking statements. Statements regarding our future results of operations and financial position, business strategy, and management's plans and objectives for future operations, including among others, statements regarding expected growth, introduction of new products, showroom and international expansion, market opportunity, capital expenditures, marketing and technology investments, liquidity and capital needs, tariff and macroeconomic impacts and any potential future declarations of cash dividends are forward-looking statements. In some cases, you can identify forward-looking statements by terms, such as “anticipate,” “believe,” “contemplate,” “continue,” “could,” “estimate,” “evolve,” “expect,” “intend,” “may,” “plan,” “potential,” “predict,” “seek,” “should,” “strategy,” “target,” “will,” or “would,” or the negative of these terms or other similar expressions. Accordingly, we caution you that any such forward-looking statements are not guarantees of future performance and are subject to risks, assumptions, and uncertainties that are difficult to predict. We have based these forward-looking statements largely on our current expectations and projections about future events </w:t>
      </w:r>
    </w:p>
    <w:p>
      <w:pPr>
        <w:pStyle w:val="TextBody"/>
        <w:bidi w:val="0"/>
        <w:spacing w:before="0" w:after="2"/>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val="false"/>
          <w:color w:val="403F3F"/>
          <w:sz w:val="20"/>
        </w:rPr>
        <w:t xml:space="preserve">and trends that we believe may affect our financial condition, results of operations, business strategy, short-term and long-term business operations and objectives, and financial needs. </w:t>
      </w:r>
      <w:r>
        <w:rPr>
          <w:rFonts w:ascii="Times New Roman;serif" w:hAnsi="Times New Roman;serif"/>
          <w:b w:val="false"/>
          <w:color w:val="000000"/>
          <w:sz w:val="20"/>
        </w:rPr>
        <w:t xml:space="preserve">Actual results may prove to be materially different from the results expressed or implied by the forward-looking statements. </w:t>
      </w:r>
      <w:r>
        <w:rPr>
          <w:rFonts w:ascii="Times New Roman;serif" w:hAnsi="Times New Roman;serif"/>
          <w:b w:val="false"/>
          <w:color w:val="403F3F"/>
          <w:sz w:val="20"/>
        </w:rPr>
        <w:t>These forward-looking statements are subject to a number of risks, uncertainties, and assumptions, including, but not limited to: fluctuations in the pricing and supply of diamonds, other gemstones, and precious metals, particularly responsibly sourced natural and lab-grown diamonds and repurposed precious metals such as gold; increases in labor costs for manufacturing such as wage rate increase, as well as inflation, and energy prices; an overall decline in the health of the economy and other factors impacting consumer spending, such as recessionary or inflationary conditions, governmental instability, the impact of any changes in trade policy, including the imposition of new or increased tariffs on goods imported into the United States and any resulting retaliatory trade actions by other governments, war and fears of war, and natural disasters; our ability to cost-effectively turn existing customers into repeat customers or acquire new customers; our rapid growth in recent years and limited operating experience at our current scale of operations and our ability to manage growth effectively; increased lead times, supply shortages and supply changes; our plans to expand showrooms in the United States; our ability to compete in the fine jewelry retail industry; our ability to maintain and enhance our brand and to engage or expand our customers base; our ability to expand our sales and marketing capabilities and achieve broader market acceptance of our e-commerce and omnichannel approach; our ability to manage our inventory balances and shrinkage; a decline in sales of Design Your Own rings; our ability to predict operating results; our heavy reliance on our information technology systems and those of our third-party vendors and service providers to safeguard confidential information and any significant failure, inadequacy or interruption of these systems, security breaches or loss of data; the impact of environmental, social, and governance matters on our business and reputation; risks related to our e-commerce and omnichannel business; our ability anticipate and respond to changes in consumer preferences and shopping patterns and introduce new products and programs; our dependence on distributions from Brilliant Earth, LLC to pay our taxes and expenses, including payments under the Tax Receivable Agreement; our obligations under the Tax Receivable Agreement, which confers certain benefits upon the Continuing Equity Owners that will not benefit holders of our Class A common stock to the same extent; risks related to our organizational structure; and the other risks, uncertainties and the factors described in the section titled “Risk Factors” in our Annual Report on Form10-K for the year ended December 31, 2025, which was filed with the Securities and Exchange Commission on March 17, 2026, and is available at www.sec.gov. We qualify all of our forward-looking statements by these cautionary statements. These forward-looking statements speak only as of the date of this press release. Except as required by applicable law, we undertake no obligation to update or revise any forward-looking statements contained in this press release, whether as a result of any new information, future events or otherwise.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Contacts:                          </w:t>
      </w:r>
    </w:p>
    <w:p>
      <w:pPr>
        <w:pStyle w:val="TextBody"/>
        <w:bidi w:val="0"/>
        <w:spacing w:before="0" w:after="2"/>
        <w:jc w:val="left"/>
        <w:rPr/>
      </w:pPr>
      <w:r>
        <w:rPr/>
      </w:r>
    </w:p>
    <w:p>
      <w:pPr>
        <w:pStyle w:val="TextBody"/>
        <w:bidi w:val="0"/>
        <w:spacing w:lineRule="auto" w:line="27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Investors:</w:t>
      </w:r>
    </w:p>
    <w:p>
      <w:pPr>
        <w:pStyle w:val="TextBody"/>
        <w:bidi w:val="0"/>
        <w:spacing w:lineRule="auto" w:line="276"/>
        <w:jc w:val="left"/>
        <w:rPr>
          <w:rFonts w:ascii="Times New Roman;serif" w:hAnsi="Times New Roman;serif"/>
          <w:b w:val="false"/>
          <w:color w:val="000000"/>
          <w:sz w:val="20"/>
        </w:rPr>
      </w:pPr>
      <w:r>
        <w:rPr>
          <w:rFonts w:ascii="Times New Roman;serif" w:hAnsi="Times New Roman;serif"/>
          <w:b w:val="false"/>
          <w:color w:val="000000"/>
          <w:sz w:val="20"/>
        </w:rPr>
        <w:t>investorrelations@brilliantearth.com</w:t>
      </w:r>
    </w:p>
    <w:p>
      <w:pPr>
        <w:pStyle w:val="TextBody"/>
        <w:bidi w:val="0"/>
        <w:spacing w:before="0" w:after="2"/>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300" w:before="0" w:after="0"/>
        <w:jc w:val="center"/>
        <w:rPr>
          <w:rFonts w:ascii="Times New Roman;serif" w:hAnsi="Times New Roman;serif"/>
          <w:b/>
          <w:color w:val="000000"/>
          <w:sz w:val="22"/>
        </w:rPr>
      </w:pPr>
      <w:r>
        <w:rPr>
          <w:rFonts w:ascii="Times New Roman;serif" w:hAnsi="Times New Roman;serif"/>
          <w:b/>
          <w:color w:val="000000"/>
          <w:sz w:val="22"/>
        </w:rPr>
        <w:t>BRILLIANT EARTH GROUP, INC.</w:t>
      </w:r>
    </w:p>
    <w:p>
      <w:pPr>
        <w:pStyle w:val="TextBody"/>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UNAUDITED CONSOLIDATED STATEMENTS OF OPERATIONS</w:t>
      </w:r>
    </w:p>
    <w:p>
      <w:pPr>
        <w:pStyle w:val="TextBody"/>
        <w:bidi w:val="0"/>
        <w:spacing w:lineRule="auto" w:line="288" w:before="0" w:after="160"/>
        <w:jc w:val="center"/>
        <w:rPr>
          <w:rFonts w:ascii="Times New Roman;serif" w:hAnsi="Times New Roman;serif"/>
          <w:b w:val="false"/>
          <w:color w:val="000000"/>
          <w:sz w:val="22"/>
        </w:rPr>
      </w:pPr>
      <w:r>
        <w:rPr>
          <w:rFonts w:ascii="Times New Roman;serif" w:hAnsi="Times New Roman;serif"/>
          <w:b w:val="false"/>
          <w:color w:val="000000"/>
          <w:sz w:val="22"/>
        </w:rPr>
        <w:t xml:space="preserve">(Dollars in thousands, except per share amounts) </w:t>
      </w:r>
    </w:p>
    <w:p>
      <w:pPr>
        <w:pStyle w:val="TextBody"/>
        <w:bidi w:val="0"/>
        <w:spacing w:before="0" w:after="2"/>
        <w:jc w:val="left"/>
        <w:rPr/>
      </w:pPr>
      <w:r>
        <w:rPr/>
      </w:r>
    </w:p>
    <w:tbl>
      <w:tblPr>
        <w:tblW w:w="9896" w:type="dxa"/>
        <w:jc w:val="left"/>
        <w:tblInd w:w="0" w:type="dxa"/>
        <w:tblLayout w:type="fixed"/>
        <w:tblCellMar>
          <w:top w:w="28" w:type="dxa"/>
          <w:left w:w="28" w:type="dxa"/>
          <w:bottom w:w="28" w:type="dxa"/>
          <w:right w:w="28" w:type="dxa"/>
        </w:tblCellMar>
      </w:tblPr>
      <w:tblGrid>
        <w:gridCol w:w="1598"/>
        <w:gridCol w:w="1413"/>
        <w:gridCol w:w="1429"/>
        <w:gridCol w:w="220"/>
        <w:gridCol w:w="846"/>
        <w:gridCol w:w="109"/>
        <w:gridCol w:w="109"/>
        <w:gridCol w:w="109"/>
        <w:gridCol w:w="109"/>
        <w:gridCol w:w="202"/>
        <w:gridCol w:w="774"/>
        <w:gridCol w:w="109"/>
        <w:gridCol w:w="109"/>
        <w:gridCol w:w="109"/>
        <w:gridCol w:w="109"/>
        <w:gridCol w:w="202"/>
        <w:gridCol w:w="774"/>
        <w:gridCol w:w="109"/>
        <w:gridCol w:w="109"/>
        <w:gridCol w:w="109"/>
        <w:gridCol w:w="109"/>
        <w:gridCol w:w="202"/>
        <w:gridCol w:w="774"/>
        <w:gridCol w:w="154"/>
      </w:tblGrid>
      <w:tr>
        <w:trPr/>
        <w:tc>
          <w:tcPr>
            <w:tcW w:w="159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115,111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108,936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214,615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202,820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48,467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45,432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93,903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84,274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Gross profit</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66,644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63,504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120,712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118,546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Marketing and advertising</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26,235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26,271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49,757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49,233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39,963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38,446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79,390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74,049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18"/>
              </w:rPr>
              <w:t>Total operating expenses</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66,198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64,717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129,147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123,282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Income (loss) from operations</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446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(1,213)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(8,435)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(4,736)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(2,010)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396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1,138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824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2,378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842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(970)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(7,611)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(4,368)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Income tax expense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Net income (loss)</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842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(7,611)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(4,380)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 (loss) allocable to non-controlling interest</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822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(3,748)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Net income (loss) allocable to Brilliant Earth Group, Inc.</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2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2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0.01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(0.04)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 xml:space="preserve">Weighted average shares of common stock outstanding: </w:t>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16,452,498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14,552,477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16,133,940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14,333,268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66" w:type="dxa"/>
            <w:gridSpan w:val="2"/>
            <w:tcBorders/>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101,681,331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14,552,477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16,133,940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14,333,268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center"/>
        <w:rPr/>
      </w:pPr>
      <w:r>
        <w:rPr/>
      </w:r>
    </w:p>
    <w:p>
      <w:pPr>
        <w:pStyle w:val="TextBody"/>
        <w:bidi w:val="0"/>
        <w:spacing w:before="0" w:after="160"/>
        <w:jc w:val="center"/>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300" w:before="0" w:after="0"/>
        <w:jc w:val="center"/>
        <w:rPr>
          <w:rFonts w:ascii="Times New Roman;serif" w:hAnsi="Times New Roman;serif"/>
          <w:b/>
          <w:color w:val="000000"/>
          <w:sz w:val="22"/>
        </w:rPr>
      </w:pPr>
      <w:r>
        <w:rPr>
          <w:rFonts w:ascii="Times New Roman;serif" w:hAnsi="Times New Roman;serif"/>
          <w:b/>
          <w:color w:val="000000"/>
          <w:sz w:val="22"/>
        </w:rPr>
        <w:t>BRILLIANT EARTH GROUP, INC.</w:t>
      </w:r>
    </w:p>
    <w:p>
      <w:pPr>
        <w:pStyle w:val="TextBody"/>
        <w:bidi w:val="0"/>
        <w:spacing w:lineRule="auto" w:line="300" w:before="0" w:after="0"/>
        <w:jc w:val="center"/>
        <w:rPr>
          <w:rFonts w:ascii="Times New Roman;serif" w:hAnsi="Times New Roman;serif"/>
          <w:b/>
          <w:color w:val="000000"/>
          <w:sz w:val="22"/>
        </w:rPr>
      </w:pPr>
      <w:r>
        <w:rPr>
          <w:rFonts w:ascii="Times New Roman;serif" w:hAnsi="Times New Roman;serif"/>
          <w:b/>
          <w:color w:val="000000"/>
          <w:sz w:val="22"/>
        </w:rPr>
        <w:t>UNAUDITED CONSOLIDATED BALANCE SHEETS</w:t>
      </w:r>
    </w:p>
    <w:p>
      <w:pPr>
        <w:pStyle w:val="TextBody"/>
        <w:bidi w:val="0"/>
        <w:spacing w:lineRule="auto" w:line="276" w:before="0" w:after="1"/>
        <w:jc w:val="center"/>
        <w:rPr>
          <w:rFonts w:ascii="Times New Roman;serif" w:hAnsi="Times New Roman;serif"/>
          <w:b w:val="false"/>
          <w:color w:val="000000"/>
          <w:sz w:val="22"/>
        </w:rPr>
      </w:pPr>
      <w:r>
        <w:rPr>
          <w:rFonts w:ascii="Times New Roman;serif" w:hAnsi="Times New Roman;serif"/>
          <w:b w:val="false"/>
          <w:color w:val="000000"/>
          <w:sz w:val="22"/>
        </w:rPr>
        <w:t>(Dollars in thousands, except per share amounts)</w:t>
      </w:r>
    </w:p>
    <w:tbl>
      <w:tblPr>
        <w:tblW w:w="10205" w:type="dxa"/>
        <w:jc w:val="center"/>
        <w:tblInd w:w="0" w:type="dxa"/>
        <w:tblLayout w:type="fixed"/>
        <w:tblCellMar>
          <w:top w:w="28" w:type="dxa"/>
          <w:left w:w="28" w:type="dxa"/>
          <w:bottom w:w="28" w:type="dxa"/>
          <w:right w:w="28" w:type="dxa"/>
        </w:tblCellMar>
      </w:tblPr>
      <w:tblGrid>
        <w:gridCol w:w="2952"/>
        <w:gridCol w:w="2384"/>
        <w:gridCol w:w="2368"/>
        <w:gridCol w:w="196"/>
        <w:gridCol w:w="751"/>
        <w:gridCol w:w="109"/>
        <w:gridCol w:w="109"/>
        <w:gridCol w:w="109"/>
        <w:gridCol w:w="109"/>
        <w:gridCol w:w="198"/>
        <w:gridCol w:w="762"/>
        <w:gridCol w:w="158"/>
      </w:tblGrid>
      <w:tr>
        <w:trPr/>
        <w:tc>
          <w:tcPr>
            <w:tcW w:w="2952"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2025</w:t>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74,948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79,089</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349</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Inventories,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53,315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53,238</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11,068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12,052</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Total current assets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139,458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144,728</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18,103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19,622</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Operating lease right of use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35,697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31,879</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3,485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4,674</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 xml:space="preserve">Total assets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196,743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200,903</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28,294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24,804</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26,298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35,732</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26,918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22,671</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6,993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6,896</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 xml:space="preserve">Total current liabilities </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88,503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90,103</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34,928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31,163</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Total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123,431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121,266</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 xml:space="preserve">Commitments and contingencies </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Preferred stock, $0.0001 par value, 10,000,000 shares authorized, none issued and outstanding at June 30, 2026 and December 31, 2025,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1,200,000,000 shares authorized; 17,455,154 shares issued and 16,880,477 shares outstanding at June 30, 2026; 16,092,701 shares issued and 15,518,024 shares outstanding at December 31, 2025</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2</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Class B common stock, $0.0001 par value, 150,000,000 shares authorized; 35,822,342 shares outstanding at June 30, 2026 and December 31, 2025,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4</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Class C common stock, $0.0001 par value, 150,000,000 shares authorized; 49,119,976 shares outstanding at June 30, 2026 and December 31, 2025,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5</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Class D common stock, $0.0001 par value, 150,000,000 shares authorized; none issued and outstanding at June 30, 2026 and December 31, 2025,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17,368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16,024</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 xml:space="preserve">Treasury stock, at cost; 574,677 and 574,677 shares at June 30, 2026 and December 31, 2025, respectively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(1,094)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(1,094)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(4,131)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(2,640)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Stockholders' equity attributable to Brilliant Earth Group, Inc.</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12,154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12,301</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Non-controlling interests attributable to Brilliant Earth, LLC</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61,158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67,336</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Total stockholders' equity</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73,312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79,637</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Total liabilities and stockholders' equity</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196,743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200,903</w:t>
            </w:r>
            <w:r>
              <w:rPr>
                <w:color w:val="000000"/>
              </w:rPr>
              <w:t>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center"/>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2"/>
          <w:u w:val="single"/>
        </w:rPr>
      </w:pPr>
      <w:r>
        <w:rPr>
          <w:rFonts w:ascii="Times New Roman;serif" w:hAnsi="Times New Roman;serif"/>
          <w:b/>
          <w:color w:val="000000"/>
          <w:sz w:val="22"/>
          <w:u w:val="single"/>
        </w:rPr>
        <w:t>GAAP to Non-GAAP Reconciliations</w:t>
      </w:r>
    </w:p>
    <w:p>
      <w:pPr>
        <w:pStyle w:val="TextBody"/>
        <w:bidi w:val="0"/>
        <w:spacing w:lineRule="auto" w:line="300"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 and dollars in thousands, except per share amounts)</w:t>
      </w:r>
    </w:p>
    <w:p>
      <w:pPr>
        <w:pStyle w:val="TextBody"/>
        <w:bidi w:val="0"/>
        <w:spacing w:before="0" w:after="0"/>
        <w:jc w:val="center"/>
        <w:rPr/>
      </w:pPr>
      <w:r>
        <w:rPr/>
      </w:r>
    </w:p>
    <w:p>
      <w:pPr>
        <w:pStyle w:val="TextBody"/>
        <w:bidi w:val="0"/>
        <w:spacing w:lineRule="auto" w:line="300" w:before="0" w:after="2"/>
        <w:jc w:val="center"/>
        <w:rPr>
          <w:rFonts w:ascii="Times New Roman;serif" w:hAnsi="Times New Roman;serif"/>
          <w:b/>
          <w:color w:val="000000"/>
          <w:sz w:val="24"/>
        </w:rPr>
      </w:pPr>
      <w:r>
        <w:rPr>
          <w:rFonts w:ascii="Times New Roman;serif" w:hAnsi="Times New Roman;serif"/>
          <w:b/>
          <w:color w:val="000000"/>
          <w:sz w:val="24"/>
        </w:rPr>
        <w:t>ADJUSTED EBITDA AND ADJUSTED EBITDA MARGIN</w:t>
      </w:r>
    </w:p>
    <w:tbl>
      <w:tblPr>
        <w:tblW w:w="10205" w:type="dxa"/>
        <w:jc w:val="center"/>
        <w:tblInd w:w="0" w:type="dxa"/>
        <w:tblLayout w:type="fixed"/>
        <w:tblCellMar>
          <w:top w:w="28" w:type="dxa"/>
          <w:left w:w="28" w:type="dxa"/>
          <w:bottom w:w="28" w:type="dxa"/>
          <w:right w:w="28" w:type="dxa"/>
        </w:tblCellMar>
      </w:tblPr>
      <w:tblGrid>
        <w:gridCol w:w="1739"/>
        <w:gridCol w:w="1528"/>
        <w:gridCol w:w="1527"/>
        <w:gridCol w:w="196"/>
        <w:gridCol w:w="571"/>
        <w:gridCol w:w="286"/>
        <w:gridCol w:w="109"/>
        <w:gridCol w:w="109"/>
        <w:gridCol w:w="109"/>
        <w:gridCol w:w="196"/>
        <w:gridCol w:w="628"/>
        <w:gridCol w:w="286"/>
        <w:gridCol w:w="109"/>
        <w:gridCol w:w="109"/>
        <w:gridCol w:w="109"/>
        <w:gridCol w:w="196"/>
        <w:gridCol w:w="628"/>
        <w:gridCol w:w="286"/>
        <w:gridCol w:w="109"/>
        <w:gridCol w:w="109"/>
        <w:gridCol w:w="109"/>
        <w:gridCol w:w="196"/>
        <w:gridCol w:w="628"/>
        <w:gridCol w:w="333"/>
      </w:tblGrid>
      <w:tr>
        <w:trPr/>
        <w:tc>
          <w:tcPr>
            <w:tcW w:w="173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color w:val="000000"/>
                <w:sz w:val="18"/>
              </w:rPr>
            </w:pPr>
            <w:r>
              <w:rPr>
                <w:rFonts w:ascii="Times New Roman;serif" w:hAnsi="Times New Roman;serif"/>
                <w:b/>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842</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(1,113)</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(7,611)</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(4,380)</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2,010 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1,654 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3,032 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Amortization of cloud-based software implementation costs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Showroom pre-opening expense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1,278 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4,697 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Other income, net </w:t>
            </w:r>
            <w:r>
              <w:rPr>
                <w:rFonts w:ascii="Times New Roman;serif" w:hAnsi="Times New Roman;serif"/>
                <w:b w:val="false"/>
                <w:color w:val="000000"/>
                <w:sz w:val="13"/>
              </w:rPr>
              <w:t>(1)</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(1,138)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(824)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(2,378)</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Other expenses</w:t>
            </w:r>
            <w:r>
              <w:rPr>
                <w:rFonts w:ascii="Times New Roman;serif" w:hAnsi="Times New Roman;serif"/>
                <w:b w:val="false"/>
                <w:color w:val="000000"/>
                <w:sz w:val="13"/>
              </w:rPr>
              <w:t>(2)</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1,793 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5,770</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6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3,182</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6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1,065</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6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4,260</w:t>
            </w:r>
            <w:r>
              <w:rPr>
                <w:color w:val="000000"/>
              </w:rPr>
              <w:t>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Net income (loss) margin</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0.7</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(1.0)</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(3.5)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(2.2)</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5.0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0.5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2.1</w:t>
            </w: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lineRule="auto" w:line="300" w:before="0" w:after="120"/>
        <w:jc w:val="center"/>
        <w:rPr>
          <w:rFonts w:ascii="sans-serif" w:hAnsi="sans-serif"/>
          <w:b w:val="false"/>
          <w:color w:val="000000"/>
          <w:sz w:val="22"/>
        </w:rPr>
      </w:pPr>
      <w:r>
        <w:rPr>
          <w:rFonts w:ascii="sans-serif" w:hAnsi="sans-serif"/>
          <w:b w:val="false"/>
          <w:color w:val="000000"/>
          <w:sz w:val="22"/>
        </w:rPr>
        <w:t>`</w:t>
      </w:r>
    </w:p>
    <w:p>
      <w:pPr>
        <w:pStyle w:val="TextBody"/>
        <w:bidi w:val="0"/>
        <w:spacing w:lineRule="auto" w:line="288" w:before="60" w:after="60"/>
        <w:ind w:left="0" w:right="0" w:hanging="357"/>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(1)Other income, net consists primarily of interest and other miscellaneous income, partially offset by expenses such as losses on exchange rates on consumer payments.</w:t>
      </w:r>
    </w:p>
    <w:p>
      <w:pPr>
        <w:pStyle w:val="TextBody"/>
        <w:bidi w:val="0"/>
        <w:spacing w:lineRule="auto" w:line="288" w:before="0" w:after="2"/>
        <w:ind w:left="0" w:right="0" w:hanging="360"/>
        <w:jc w:val="left"/>
        <w:rPr/>
      </w:pPr>
      <w:r>
        <w:rPr>
          <w:rFonts w:ascii="Times New Roman;serif" w:hAnsi="Times New Roman;serif"/>
          <w:b w:val="false"/>
          <w:color w:val="000000"/>
          <w:sz w:val="18"/>
        </w:rPr>
        <w:t xml:space="preserve">(2) </w:t>
      </w:r>
      <w:r>
        <w:rPr>
          <w:rFonts w:ascii="Times New Roman;serif" w:hAnsi="Times New Roman;serif"/>
          <w:b w:val="false"/>
          <w:color w:val="000000"/>
          <w:sz w:val="18"/>
          <w:shd w:fill="FFFFFF" w:val="clear"/>
        </w:rPr>
        <w:t xml:space="preserve">These expenses are those that we did not incur in the normal course of business. For the three months ended June 30, 2026, these expenses include a </w:t>
      </w:r>
      <w:r>
        <w:rPr>
          <w:rFonts w:ascii="Times New Roman;serif" w:hAnsi="Times New Roman;serif"/>
          <w:b w:val="false"/>
          <w:color w:val="000000"/>
          <w:sz w:val="18"/>
        </w:rPr>
        <w:t>$1.8 million charge for write-off of information technology projects.</w:t>
      </w:r>
      <w:r>
        <w:rPr>
          <w:color w:val="000000"/>
          <w:shd w:fill="FFFFFF" w:val="clear"/>
        </w:rPr>
        <w:t xml:space="preserve"> </w:t>
      </w:r>
      <w:r>
        <w:rPr>
          <w:rFonts w:ascii="Times New Roman;serif" w:hAnsi="Times New Roman;serif"/>
          <w:b w:val="false"/>
          <w:color w:val="000000"/>
          <w:sz w:val="18"/>
          <w:shd w:fill="FFFFFF" w:val="clear"/>
        </w:rPr>
        <w:t>For the six months ended June 30, 2026, these expenses also include a $0.6 million charitable contribution.</w:t>
      </w:r>
    </w:p>
    <w:p>
      <w:pPr>
        <w:pStyle w:val="TextBody"/>
        <w:bidi w:val="0"/>
        <w:ind w:left="0" w:right="0" w:firstLine="3"/>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center"/>
        <w:rPr/>
      </w:pPr>
      <w:r>
        <w:rPr>
          <w:rFonts w:ascii="Times New Roman;serif" w:hAnsi="Times New Roman;serif"/>
          <w:b/>
          <w:color w:val="000000"/>
          <w:sz w:val="24"/>
        </w:rPr>
        <w:t>ADJUSTED</w:t>
      </w:r>
      <w:r>
        <w:rPr>
          <w:color w:val="000000"/>
          <w:shd w:fill="FFFFFF" w:val="clear"/>
        </w:rPr>
        <w:t xml:space="preserve"> </w:t>
      </w:r>
      <w:r>
        <w:rPr>
          <w:rFonts w:ascii="Times New Roman;serif" w:hAnsi="Times New Roman;serif"/>
          <w:b/>
          <w:color w:val="000000"/>
          <w:sz w:val="24"/>
          <w:shd w:fill="FFFFFF" w:val="clear"/>
        </w:rPr>
        <w:t>NET INCOME (LOSS) AN</w:t>
      </w:r>
      <w:r>
        <w:rPr>
          <w:rFonts w:ascii="Times New Roman;serif" w:hAnsi="Times New Roman;serif"/>
          <w:b/>
          <w:color w:val="000000"/>
          <w:sz w:val="24"/>
        </w:rPr>
        <w:t>D ADJUSTED DILUTED EARNINGS PER SHARE</w:t>
      </w:r>
    </w:p>
    <w:p>
      <w:pPr>
        <w:pStyle w:val="TextBody"/>
        <w:bidi w:val="0"/>
        <w:spacing w:before="0" w:after="2"/>
        <w:jc w:val="center"/>
        <w:rPr/>
      </w:pPr>
      <w:r>
        <w:rPr/>
      </w:r>
    </w:p>
    <w:tbl>
      <w:tblPr>
        <w:tblW w:w="10205" w:type="dxa"/>
        <w:jc w:val="center"/>
        <w:tblInd w:w="0" w:type="dxa"/>
        <w:tblLayout w:type="fixed"/>
        <w:tblCellMar>
          <w:top w:w="28" w:type="dxa"/>
          <w:left w:w="28" w:type="dxa"/>
          <w:bottom w:w="28" w:type="dxa"/>
          <w:right w:w="28" w:type="dxa"/>
        </w:tblCellMar>
      </w:tblPr>
      <w:tblGrid>
        <w:gridCol w:w="1775"/>
        <w:gridCol w:w="1466"/>
        <w:gridCol w:w="1477"/>
        <w:gridCol w:w="268"/>
        <w:gridCol w:w="783"/>
        <w:gridCol w:w="109"/>
        <w:gridCol w:w="109"/>
        <w:gridCol w:w="109"/>
        <w:gridCol w:w="109"/>
        <w:gridCol w:w="245"/>
        <w:gridCol w:w="716"/>
        <w:gridCol w:w="109"/>
        <w:gridCol w:w="109"/>
        <w:gridCol w:w="109"/>
        <w:gridCol w:w="109"/>
        <w:gridCol w:w="267"/>
        <w:gridCol w:w="784"/>
        <w:gridCol w:w="109"/>
        <w:gridCol w:w="109"/>
        <w:gridCol w:w="109"/>
        <w:gridCol w:w="109"/>
        <w:gridCol w:w="278"/>
        <w:gridCol w:w="683"/>
        <w:gridCol w:w="155"/>
      </w:tblGrid>
      <w:tr>
        <w:trPr/>
        <w:tc>
          <w:tcPr>
            <w:tcW w:w="1775"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pPr>
            <w:r>
              <w:rPr>
                <w:rFonts w:ascii="Times New Roman;serif" w:hAnsi="Times New Roman;serif"/>
                <w:b/>
                <w:color w:val="000000"/>
                <w:sz w:val="18"/>
              </w:rPr>
              <w:t xml:space="preserve">Net income (loss) attributable to Brilliant Earth Group, Inc., as reported </w:t>
            </w:r>
            <w:r>
              <w:rPr>
                <w:rFonts w:ascii="Times New Roman;serif" w:hAnsi="Times New Roman;serif"/>
                <w:b/>
                <w:color w:val="000000"/>
                <w:sz w:val="12"/>
              </w:rPr>
              <w:t>(1)</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(632)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pPr>
            <w:r>
              <w:rPr>
                <w:rFonts w:ascii="Times New Roman;serif" w:hAnsi="Times New Roman;serif"/>
                <w:b w:val="false"/>
                <w:color w:val="000000"/>
                <w:sz w:val="18"/>
              </w:rPr>
              <w:t xml:space="preserve">Net income (loss) impact from assumed redemption of all LLC Units to common stock </w:t>
            </w:r>
            <w:r>
              <w:rPr>
                <w:rFonts w:ascii="Times New Roman;serif" w:hAnsi="Times New Roman;serif"/>
                <w:b w:val="false"/>
                <w:color w:val="000000"/>
                <w:sz w:val="12"/>
              </w:rPr>
              <w:t>(2)</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 (loss), as reported</w:t>
            </w:r>
          </w:p>
        </w:tc>
        <w:tc>
          <w:tcPr>
            <w:tcW w:w="105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(1,113)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(7,611)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(4,380)</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pPr>
            <w:r>
              <w:rPr>
                <w:rFonts w:ascii="Times New Roman;serif" w:hAnsi="Times New Roman;serif"/>
                <w:b w:val="false"/>
                <w:color w:val="000000"/>
                <w:sz w:val="18"/>
              </w:rPr>
              <w:t xml:space="preserve">Income tax (expense) benefit associated with conversion </w:t>
            </w:r>
            <w:r>
              <w:rPr>
                <w:rFonts w:ascii="Times New Roman;serif" w:hAnsi="Times New Roman;serif"/>
                <w:b w:val="false"/>
                <w:color w:val="000000"/>
                <w:sz w:val="12"/>
              </w:rPr>
              <w:t>(3)</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Tax effected net income (loss) after assumed conversion</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(6,071)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(3,427)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Equity-based compensation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Showroom pre-opening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Other expenses </w:t>
            </w:r>
            <w:r>
              <w:rPr>
                <w:rFonts w:ascii="Times New Roman;serif" w:hAnsi="Times New Roman;serif"/>
                <w:b w:val="false"/>
                <w:color w:val="000000"/>
                <w:sz w:val="12"/>
              </w:rPr>
              <w:t>(4)</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Tax impact of adjustments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(1,424)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Adjusted Net Income (Loss)</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3,213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1,102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(1,741)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747</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Diluted weighted average of common stock assumed outstanding</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101,681,331 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14,552,477 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16,133,940 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14,333,268 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color w:val="000000"/>
              </w:rPr>
              <w:t>  </w:t>
            </w:r>
            <w:r>
              <w:rPr>
                <w:rFonts w:ascii="Times New Roman;serif" w:hAnsi="Times New Roman;serif"/>
                <w:b w:val="false"/>
                <w:color w:val="000000"/>
                <w:sz w:val="18"/>
              </w:rPr>
              <w:t>Vested LLC Units that are exchangeable for common stock</w:t>
            </w:r>
            <w:r>
              <w:rPr>
                <w:rFonts w:ascii="Times New Roman;serif" w:hAnsi="Times New Roman;serif"/>
                <w:b w:val="false"/>
                <w:color w:val="000000"/>
                <w:sz w:val="12"/>
              </w:rPr>
              <w:t>(5)</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84,961,455 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84,942,318 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84,954,564 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color w:val="000000"/>
              </w:rPr>
              <w:t>  </w:t>
            </w:r>
            <w:r>
              <w:rPr>
                <w:rFonts w:ascii="Times New Roman;serif" w:hAnsi="Times New Roman;serif"/>
                <w:b w:val="false"/>
                <w:color w:val="000000"/>
                <w:sz w:val="18"/>
              </w:rPr>
              <w:t>Unvested LLC Units that are exchangeable for common stock</w:t>
            </w:r>
            <w:r>
              <w:rPr>
                <w:rFonts w:ascii="Times New Roman;serif" w:hAnsi="Times New Roman;serif"/>
                <w:b w:val="false"/>
                <w:color w:val="000000"/>
                <w:sz w:val="12"/>
              </w:rPr>
              <w:t>(5)</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18"/>
              </w:rPr>
              <w:t>RSUs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308,971 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123,922 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diluted weighted average of common stock assumed outstanding</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101,681,331 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99,658,148 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101,385,229 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99,414,613 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Diluted earnings per share:</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As reported</w:t>
            </w:r>
          </w:p>
        </w:tc>
        <w:tc>
          <w:tcPr>
            <w:tcW w:w="26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As adjusted</w:t>
            </w:r>
          </w:p>
        </w:tc>
        <w:tc>
          <w:tcPr>
            <w:tcW w:w="26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0.01 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60" w:after="283"/>
        <w:ind w:left="0" w:right="0" w:hanging="540"/>
        <w:jc w:val="both"/>
        <w:rPr/>
      </w:pPr>
      <w:r>
        <w:rPr>
          <w:rFonts w:ascii="Times New Roman;serif" w:hAnsi="Times New Roman;serif"/>
          <w:b w:val="false"/>
          <w:color w:val="000000"/>
          <w:sz w:val="18"/>
          <w:shd w:fill="FFFFFF" w:val="clear"/>
        </w:rPr>
        <w:t>(1)</w:t>
      </w:r>
      <w:r>
        <w:rPr>
          <w:rFonts w:ascii="Times New Roman;serif" w:hAnsi="Times New Roman;serif"/>
          <w:b w:val="false"/>
          <w:color w:val="000000"/>
          <w:sz w:val="18"/>
        </w:rPr>
        <w:t>Rep</w:t>
      </w:r>
      <w:r>
        <w:rPr>
          <w:rFonts w:ascii="Times New Roman;serif" w:hAnsi="Times New Roman;serif"/>
          <w:b w:val="false"/>
          <w:color w:val="000000"/>
          <w:sz w:val="18"/>
          <w:shd w:fill="FFFFFF" w:val="clear"/>
        </w:rPr>
        <w:t>resents net income (loss) allo</w:t>
      </w:r>
      <w:r>
        <w:rPr>
          <w:rFonts w:ascii="Times New Roman;serif" w:hAnsi="Times New Roman;serif"/>
          <w:b w:val="false"/>
          <w:color w:val="000000"/>
          <w:sz w:val="18"/>
        </w:rPr>
        <w:t xml:space="preserve">cable to Brilliant Earth Group, Inc. for the </w:t>
      </w:r>
      <w:r>
        <w:rPr>
          <w:rFonts w:ascii="Times New Roman;serif" w:hAnsi="Times New Roman;serif"/>
          <w:b w:val="false"/>
          <w:color w:val="000000"/>
          <w:sz w:val="18"/>
          <w:shd w:fill="FFFFFF" w:val="clear"/>
        </w:rPr>
        <w:t>three and six months ended</w:t>
      </w:r>
      <w:r>
        <w:rPr>
          <w:color w:val="000000"/>
        </w:rPr>
        <w:t xml:space="preserve"> </w:t>
      </w:r>
      <w:r>
        <w:rPr>
          <w:rFonts w:ascii="Times New Roman;serif" w:hAnsi="Times New Roman;serif"/>
          <w:b w:val="false"/>
          <w:color w:val="000000"/>
          <w:sz w:val="18"/>
        </w:rPr>
        <w:t>June 30, 2026 and 2025.</w:t>
      </w:r>
    </w:p>
    <w:p>
      <w:pPr>
        <w:pStyle w:val="TextBody"/>
        <w:bidi w:val="0"/>
        <w:spacing w:lineRule="auto" w:line="300" w:before="1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(2)It is assumed that we will elect to issue common stock upon redemption of LLC Units rather than cash settle.</w:t>
      </w:r>
    </w:p>
    <w:p>
      <w:pPr>
        <w:pStyle w:val="TextBody"/>
        <w:bidi w:val="0"/>
        <w:spacing w:lineRule="auto" w:line="300" w:before="1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(3)Brilliant Earth Group, Inc. is subject to U.S. Federal income taxes, in addition to state and local taxes with respect to its allocable share of any net taxable income of Brilliant Earth, LLC. Acquisition of LLC units by Brilliant Earth Group, Inc. causes all of the taxable income currently recognized by the members of Brilliant Earth, LLC to become taxable to the Company.</w:t>
      </w:r>
    </w:p>
    <w:p>
      <w:pPr>
        <w:pStyle w:val="TextBody"/>
        <w:bidi w:val="0"/>
        <w:spacing w:lineRule="auto" w:line="300" w:before="160" w:after="283"/>
        <w:ind w:left="0" w:right="0" w:hanging="540"/>
        <w:jc w:val="both"/>
        <w:rPr/>
      </w:pPr>
      <w:r>
        <w:rPr>
          <w:rFonts w:ascii="Times New Roman;serif" w:hAnsi="Times New Roman;serif"/>
          <w:b w:val="false"/>
          <w:color w:val="000000"/>
          <w:sz w:val="18"/>
          <w:shd w:fill="FFFFFF" w:val="clear"/>
        </w:rPr>
        <w:t xml:space="preserve">(4)These expenses are those that we did not incur in the normal course of business. For the three months ended June 30, 2026, these expenses include a </w:t>
      </w:r>
      <w:r>
        <w:rPr>
          <w:rFonts w:ascii="Times New Roman;serif" w:hAnsi="Times New Roman;serif"/>
          <w:b w:val="false"/>
          <w:color w:val="000000"/>
          <w:sz w:val="18"/>
        </w:rPr>
        <w:t>$1.8 million charge for write-off of information technology projects.</w:t>
      </w:r>
      <w:r>
        <w:rPr>
          <w:color w:val="000000"/>
          <w:shd w:fill="FFFFFF" w:val="clear"/>
        </w:rPr>
        <w:t xml:space="preserve"> </w:t>
      </w:r>
      <w:r>
        <w:rPr>
          <w:rFonts w:ascii="Times New Roman;serif" w:hAnsi="Times New Roman;serif"/>
          <w:b w:val="false"/>
          <w:color w:val="000000"/>
          <w:sz w:val="18"/>
          <w:shd w:fill="FFFFFF" w:val="clear"/>
        </w:rPr>
        <w:t>For the six months ended June 30, 2026, these expenses also include a $0.6 million charitable contribution.</w:t>
      </w:r>
    </w:p>
    <w:p>
      <w:pPr>
        <w:pStyle w:val="TextBody"/>
        <w:bidi w:val="0"/>
        <w:spacing w:lineRule="auto" w:line="300" w:before="160" w:after="283"/>
        <w:ind w:left="0" w:right="0" w:hanging="54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xml:space="preserve">(5)Assumes the exchange of all outstanding LLC units for shares of common stock, resulting in the elimination of the non-controlling interest and recognition of the net loss attributable to non-controlling interest. </w:t>
      </w:r>
    </w:p>
    <w:p>
      <w:pPr>
        <w:pStyle w:val="TextBody"/>
        <w:bidi w:val="0"/>
        <w:spacing w:before="160" w:after="283"/>
        <w:ind w:left="0" w:right="0" w:hanging="18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4181</Words>
  <Characters>23373</Characters>
  <CharactersWithSpaces>27143</CharactersWithSpaces>
  <Paragraphs>702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